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6194ds1a.htm"/>
        <w:bookmarkStart w:id="1" w:name="ksd66194ds1a"/>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U.S. Securities and Exchange Commission on January 13, 2026. </w:t>
      </w:r>
    </w:p>
    <w:p>
      <w:pPr>
        <w:pStyle w:val="TextBody"/>
        <w:bidi w:val="0"/>
        <w:spacing w:before="40" w:after="0"/>
        <w:jc w:val="right"/>
        <w:rPr>
          <w:rFonts w:ascii="Times New Roman" w:hAnsi="Times New Roman"/>
          <w:b/>
          <w:sz w:val="20"/>
        </w:rPr>
      </w:pPr>
      <w:r>
        <w:rPr>
          <w:rFonts w:ascii="Times New Roman" w:hAnsi="Times New Roman"/>
          <w:b/>
          <w:sz w:val="20"/>
        </w:rPr>
        <w:t xml:space="preserve">Registration No. 333-275939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Amendment No. 5 to </w:t>
      </w:r>
    </w:p>
    <w:p>
      <w:pPr>
        <w:pStyle w:val="TextBody"/>
        <w:bidi w:val="0"/>
        <w:spacing w:before="0" w:after="0"/>
        <w:jc w:val="center"/>
        <w:rPr>
          <w:rFonts w:ascii="Times New Roman" w:hAnsi="Times New Roman"/>
          <w:b/>
          <w:sz w:val="36"/>
        </w:rPr>
      </w:pPr>
      <w:r>
        <w:rPr>
          <w:rFonts w:ascii="Times New Roman" w:hAnsi="Times New Roman"/>
          <w:b/>
          <w:sz w:val="36"/>
        </w:rPr>
        <w:t xml:space="preserve">FORM S-1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Hornbeck Offshore Services,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1"/>
        <w:gridCol w:w="3267"/>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4424</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72-1375844</w:t>
            </w:r>
          </w:p>
        </w:tc>
      </w:tr>
      <w:tr>
        <w:trPr/>
        <w:tc>
          <w:tcPr>
            <w:tcW w:w="3469"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(Primary Standard Industrial</w:t>
            </w:r>
          </w:p>
          <w:p>
            <w:pPr>
              <w:pStyle w:val="TableContents"/>
              <w:bidi w:val="0"/>
              <w:spacing w:before="0" w:after="20"/>
              <w:jc w:val="center"/>
              <w:rPr>
                <w:rFonts w:ascii="Times New Roman" w:hAnsi="Times New Roman"/>
                <w:b/>
                <w:sz w:val="16"/>
              </w:rPr>
            </w:pPr>
            <w:r>
              <w:rPr>
                <w:rFonts w:ascii="Times New Roman" w:hAnsi="Times New Roman"/>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103 Northpark Boulevard, Suite 300 </w:t>
      </w:r>
    </w:p>
    <w:p>
      <w:pPr>
        <w:pStyle w:val="TextBody"/>
        <w:bidi w:val="0"/>
        <w:spacing w:before="0" w:after="0"/>
        <w:jc w:val="center"/>
        <w:rPr>
          <w:rFonts w:ascii="Times New Roman" w:hAnsi="Times New Roman"/>
          <w:b/>
          <w:sz w:val="18"/>
        </w:rPr>
      </w:pPr>
      <w:r>
        <w:rPr>
          <w:rFonts w:ascii="Times New Roman" w:hAnsi="Times New Roman"/>
          <w:b/>
          <w:sz w:val="18"/>
        </w:rPr>
        <w:t xml:space="preserve">Covington, Louisiana 70433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(985) 727-2000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Todd M. Hornbeck </w:t>
      </w:r>
    </w:p>
    <w:p>
      <w:pPr>
        <w:pStyle w:val="TextBody"/>
        <w:bidi w:val="0"/>
        <w:spacing w:before="0" w:after="0"/>
        <w:jc w:val="center"/>
        <w:rPr>
          <w:rFonts w:ascii="Times New Roman" w:hAnsi="Times New Roman"/>
          <w:b/>
          <w:sz w:val="18"/>
        </w:rPr>
      </w:pPr>
      <w:r>
        <w:rPr>
          <w:rFonts w:ascii="Times New Roman" w:hAnsi="Times New Roman"/>
          <w:b/>
          <w:sz w:val="18"/>
        </w:rPr>
        <w:t xml:space="preserve">Chairman of the Board, President and Chief Executive Officer 103 Northpark Boulevard, Suite 300 </w:t>
      </w:r>
    </w:p>
    <w:p>
      <w:pPr>
        <w:pStyle w:val="TextBody"/>
        <w:bidi w:val="0"/>
        <w:spacing w:before="0" w:after="0"/>
        <w:jc w:val="center"/>
        <w:rPr>
          <w:rFonts w:ascii="Times New Roman" w:hAnsi="Times New Roman"/>
          <w:b/>
          <w:sz w:val="18"/>
        </w:rPr>
      </w:pPr>
      <w:r>
        <w:rPr>
          <w:rFonts w:ascii="Times New Roman" w:hAnsi="Times New Roman"/>
          <w:b/>
          <w:sz w:val="18"/>
        </w:rPr>
        <w:t xml:space="preserve">Covington, Louisiana 70433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(985) 727-2000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Matthew R. Pacey, P.C.</w:t>
              <w:br/>
              <w:t>Ieuan A. List</w:t>
              <w:br/>
              <w:t>Kirkland &amp; Ellis LLP</w:t>
              <w:br/>
              <w:t>609 Main Street</w:t>
              <w:br/>
              <w:t>Houston, TX 77002</w:t>
              <w:br/>
              <w:t>(713) 836-3786</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T. Mark Kelly</w:t>
            </w:r>
          </w:p>
          <w:p>
            <w:pPr>
              <w:pStyle w:val="TableContents"/>
              <w:bidi w:val="0"/>
              <w:spacing w:before="0" w:after="0"/>
              <w:jc w:val="center"/>
              <w:rPr>
                <w:rFonts w:ascii="Times New Roman" w:hAnsi="Times New Roman"/>
                <w:b/>
                <w:sz w:val="18"/>
              </w:rPr>
            </w:pPr>
            <w:r>
              <w:rPr>
                <w:rFonts w:ascii="Times New Roman" w:hAnsi="Times New Roman"/>
                <w:b/>
                <w:sz w:val="18"/>
              </w:rPr>
              <w:t>E. Ramey Layne</w:t>
            </w:r>
          </w:p>
          <w:p>
            <w:pPr>
              <w:pStyle w:val="TableContents"/>
              <w:bidi w:val="0"/>
              <w:spacing w:before="0" w:after="20"/>
              <w:jc w:val="center"/>
              <w:rPr>
                <w:rFonts w:ascii="Times New Roman" w:hAnsi="Times New Roman"/>
                <w:b/>
                <w:sz w:val="18"/>
              </w:rPr>
            </w:pPr>
            <w:r>
              <w:rPr>
                <w:rFonts w:ascii="Times New Roman" w:hAnsi="Times New Roman"/>
                <w:b/>
                <w:sz w:val="18"/>
              </w:rPr>
              <w:t>Vinson &amp; Elkins LLP</w:t>
              <w:br/>
              <w:t>845 Texas Avenue</w:t>
              <w:br/>
              <w:t>Houston, TX 77002</w:t>
              <w:br/>
              <w:t>(713) 758-2222</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b/>
          <w:sz w:val="18"/>
        </w:rPr>
        <w:t xml:space="preserve">Approximate date of commencement of proposed sale to the public: </w:t>
      </w:r>
      <w:r>
        <w:rPr>
          <w:rFonts w:ascii="Times New Roman" w:hAnsi="Times New Roman"/>
          <w:sz w:val="18"/>
        </w:rPr>
        <w:t xml:space="preserve">As soon as practicable after this Registration Statement is declared effective.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6"/>
        <w:gridCol w:w="104"/>
        <w:gridCol w:w="4834"/>
        <w:gridCol w:w="133"/>
        <w:gridCol w:w="2607"/>
        <w:gridCol w:w="104"/>
        <w:gridCol w:w="267"/>
      </w:tblGrid>
      <w:tr>
        <w:trPr/>
        <w:tc>
          <w:tcPr>
            <w:tcW w:w="215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3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56" w:type="dxa"/>
            <w:tcBorders/>
            <w:vAlign w:val="center"/>
          </w:tcPr>
          <w:p>
            <w:pPr>
              <w:pStyle w:val="TableContents"/>
              <w:bidi w:val="0"/>
              <w:spacing w:before="0" w:after="283"/>
              <w:jc w:val="left"/>
              <w:rPr>
                <w:sz w:val="4"/>
                <w:szCs w:val="4"/>
              </w:rPr>
            </w:pPr>
            <w:r>
              <w:rPr>
                <w:sz w:val="4"/>
                <w:szCs w:val="4"/>
              </w:rPr>
            </w:r>
          </w:p>
        </w:tc>
        <w:tc>
          <w:tcPr>
            <w:tcW w:w="4938" w:type="dxa"/>
            <w:gridSpan w:val="2"/>
            <w:tcBorders/>
            <w:vAlign w:val="center"/>
          </w:tcPr>
          <w:p>
            <w:pPr>
              <w:pStyle w:val="TableContents"/>
              <w:bidi w:val="0"/>
              <w:spacing w:before="0" w:after="283"/>
              <w:jc w:val="left"/>
              <w:rPr>
                <w:sz w:val="4"/>
                <w:szCs w:val="4"/>
              </w:rPr>
            </w:pPr>
            <w:r>
              <w:rPr>
                <w:sz w:val="4"/>
                <w:szCs w:val="4"/>
              </w:rPr>
            </w:r>
          </w:p>
        </w:tc>
        <w:tc>
          <w:tcPr>
            <w:tcW w:w="2740"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56"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3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07"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color w:val="CB2D5E"/>
          <w:sz w:val="20"/>
        </w:rPr>
      </w:pPr>
      <w:r>
        <w:rPr>
          <w:rFonts w:ascii="ARIAL" w:hAnsi="ARIAL"/>
          <w:b/>
          <w:color w:val="CB2D5E"/>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CB2D5E"/>
          <w:sz w:val="20"/>
        </w:rPr>
      </w:pPr>
      <w:r>
        <w:rPr>
          <w:rFonts w:ascii="Times New Roman" w:hAnsi="Times New Roman"/>
          <w:b/>
          <w:color w:val="CB2D5E"/>
          <w:sz w:val="20"/>
        </w:rPr>
        <w:t xml:space="preserve">Subject to Completion, dated    , 2026 </w:t>
      </w:r>
    </w:p>
    <w:p>
      <w:pPr>
        <w:pStyle w:val="TextBody"/>
        <w:bidi w:val="0"/>
        <w:spacing w:before="80" w:after="0"/>
        <w:ind w:left="960" w:right="960" w:hanging="0"/>
        <w:jc w:val="left"/>
        <w:rPr>
          <w:rFonts w:ascii="arial" w:hAnsi="arial"/>
          <w:b/>
          <w:sz w:val="24"/>
        </w:rPr>
      </w:pPr>
      <w:r>
        <w:rPr>
          <w:rFonts w:ascii="arial" w:hAnsi="arial"/>
          <w:b/>
          <w:sz w:val="24"/>
        </w:rPr>
        <w:t xml:space="preserve">PROSPECTUS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8" w:space="1" w:color="000000"/>
        </w:rPr>
      </w:pPr>
      <w:r>
        <w:rPr>
          <w:bdr w:val="single" w:sz="8" w:space="1" w:color="000000"/>
        </w:rPr>
        <w:t> </w:t>
      </w:r>
    </w:p>
    <w:p>
      <w:pPr>
        <w:pStyle w:val="TextBody"/>
        <w:bidi w:val="0"/>
        <w:spacing w:before="120" w:after="0"/>
        <w:ind w:left="960" w:right="960" w:hanging="0"/>
        <w:jc w:val="center"/>
        <w:rPr/>
      </w:pPr>
      <w:r>
        <w:rPr/>
        <w:t>   </w:t>
      </w:r>
      <w:r>
        <w:rPr>
          <w:rFonts w:ascii="arial" w:hAnsi="arial"/>
          <w:b/>
          <w:sz w:val="32"/>
        </w:rPr>
        <w:t xml:space="preserve">Shares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00012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1000125"/>
                    </a:xfrm>
                    <a:prstGeom prst="rect">
                      <a:avLst/>
                    </a:prstGeom>
                  </pic:spPr>
                </pic:pic>
              </a:graphicData>
            </a:graphic>
          </wp:inline>
        </w:drawing>
      </w:r>
      <w:r>
        <w:rPr/>
        <w:t xml:space="preserve"> </w:t>
      </w:r>
    </w:p>
    <w:p>
      <w:pPr>
        <w:pStyle w:val="TextBody"/>
        <w:bidi w:val="0"/>
        <w:spacing w:before="240" w:after="0"/>
        <w:ind w:left="960" w:right="960" w:hanging="0"/>
        <w:jc w:val="center"/>
        <w:rPr>
          <w:rFonts w:ascii="arial" w:hAnsi="arial"/>
          <w:b/>
          <w:sz w:val="44"/>
        </w:rPr>
      </w:pPr>
      <w:r>
        <w:rPr>
          <w:rFonts w:ascii="arial" w:hAnsi="arial"/>
          <w:b/>
          <w:sz w:val="44"/>
        </w:rPr>
        <w:t xml:space="preserve">Hornbeck Offshore Services, Inc. </w:t>
      </w:r>
    </w:p>
    <w:p>
      <w:pPr>
        <w:pStyle w:val="TextBody"/>
        <w:bidi w:val="0"/>
        <w:spacing w:before="240" w:after="0"/>
        <w:ind w:left="960" w:right="960" w:hanging="0"/>
        <w:jc w:val="center"/>
        <w:rPr>
          <w:rFonts w:ascii="arial" w:hAnsi="arial"/>
          <w:b/>
          <w:sz w:val="32"/>
        </w:rPr>
      </w:pPr>
      <w:r>
        <w:rPr>
          <w:rFonts w:ascii="arial" w:hAnsi="arial"/>
          <w:b/>
          <w:sz w:val="32"/>
        </w:rPr>
        <w:t xml:space="preserve">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8" w:space="1" w:color="000000"/>
        </w:rPr>
      </w:pPr>
      <w:r>
        <w:rPr>
          <w:bdr w:val="single" w:sz="8" w:space="1" w:color="000000"/>
        </w:rPr>
        <w:t> </w:t>
      </w:r>
    </w:p>
    <w:p>
      <w:pPr>
        <w:pStyle w:val="TextBody"/>
        <w:bidi w:val="0"/>
        <w:spacing w:before="160" w:after="0"/>
        <w:ind w:left="960" w:right="960" w:hanging="0"/>
        <w:jc w:val="left"/>
        <w:rPr>
          <w:rFonts w:ascii="Times New Roman" w:hAnsi="Times New Roman"/>
          <w:sz w:val="16"/>
        </w:rPr>
      </w:pPr>
      <w:r>
        <w:rPr>
          <w:rFonts w:ascii="Times New Roman" w:hAnsi="Times New Roman"/>
          <w:sz w:val="16"/>
        </w:rPr>
        <w:t xml:space="preserve">This is an initial public offering of shares of our common stock, $0.00001 par value per share. We are offering   shares of our common stock. Certain selling stockholders identified in this prospectus are offering    shares of our common stock.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Prior to this offering, there has been no public market for our common stock. We estimate that the initial public offering price per share will be between $    and $    . See “Underwriting (Conflicts of Interest)” for a discussion of the factors to be considered in determining the initial offering price. We have applied to list our common stock on the New York Stock Exchange (the “NYSE”) under the symbol “HOS.” </w:t>
      </w:r>
    </w:p>
    <w:p>
      <w:pPr>
        <w:pStyle w:val="TextBody"/>
        <w:bidi w:val="0"/>
        <w:spacing w:before="120" w:after="0"/>
        <w:ind w:left="960" w:right="960" w:hanging="0"/>
        <w:jc w:val="left"/>
        <w:rPr/>
      </w:pPr>
      <w:r>
        <w:rPr>
          <w:rFonts w:ascii="Times New Roman" w:hAnsi="Times New Roman"/>
          <w:i/>
          <w:sz w:val="20"/>
        </w:rPr>
        <w:t>Investing in shares of our common stock involves significant risks. See “</w:t>
      </w:r>
      <w:hyperlink w:anchor="rom66194_3">
        <w:r>
          <w:rPr>
            <w:rStyle w:val="InternetLink"/>
            <w:rFonts w:ascii="Times New Roman" w:hAnsi="Times New Roman"/>
            <w:i/>
            <w:sz w:val="20"/>
          </w:rPr>
          <w:t>Risk Factors</w:t>
        </w:r>
      </w:hyperlink>
      <w:r>
        <w:rPr>
          <w:rFonts w:ascii="Times New Roman" w:hAnsi="Times New Roman"/>
          <w:i/>
          <w:sz w:val="20"/>
        </w:rPr>
        <w:t xml:space="preserve">” beginning on page 35. </w:t>
      </w:r>
    </w:p>
    <w:p>
      <w:pPr>
        <w:pStyle w:val="TextBody"/>
        <w:bidi w:val="0"/>
        <w:spacing w:before="120" w:after="0"/>
        <w:ind w:left="960" w:right="960" w:hanging="0"/>
        <w:jc w:val="left"/>
        <w:rPr>
          <w:rFonts w:ascii="Times New Roman" w:hAnsi="Times New Roman"/>
          <w:i/>
          <w:sz w:val="16"/>
        </w:rPr>
      </w:pPr>
      <w:r>
        <w:rPr>
          <w:rFonts w:ascii="Times New Roman" w:hAnsi="Times New Roman"/>
          <w:i/>
          <w:sz w:val="16"/>
        </w:rPr>
        <w:t xml:space="preserve">Only citizens of the United States, as defined in the Jones Act (as defined herein), are eligible to participate in this offering. The Jones Act requires that at least 75% of the outstanding shares of each class or series of our capital stock must be owned and controlled by U.S. citizens and, in order to provide a reasonable margin for compliance with this requirement, our amended and restated certificate of incorporation will provide that all non-U.S. citizens in the aggregate may not own more than 21% of the outstanding shares of our common stock, with certain limited grandfathered circumstances allowing up to 24% of the outstanding shares of our common stock to be owned by non-U.S. citizens on and after the effective date of the initial public offering. Failure to comply with the Jones Act could cause us to lose the privilege of owning and operating vessels in the U.S. coastwise trade. Accordingly, our common stock is subject to limitations on foreign ownership and possible required divestiture by non-U.S. citizen stockholders. See “Description of Capital Stock and Warrants—Limitations on Ownership by Non-U.S. Citizens” and “Risk Factors—Our common stock is subject to restrictions on foreign ownership and possible required divestiture by non-U.S. citizen stockholders.” </w:t>
      </w:r>
    </w:p>
    <w:p>
      <w:pPr>
        <w:pStyle w:val="TextBody"/>
        <w:bidi w:val="0"/>
        <w:spacing w:before="120" w:after="0"/>
        <w:ind w:left="960" w:right="960" w:hanging="0"/>
        <w:jc w:val="left"/>
        <w:rPr>
          <w:rFonts w:ascii="Times New Roman" w:hAnsi="Times New Roman"/>
          <w:b/>
          <w:sz w:val="16"/>
        </w:rPr>
      </w:pPr>
      <w:r>
        <w:rPr>
          <w:rFonts w:ascii="Times New Roman" w:hAnsi="Times New Roman"/>
          <w:b/>
          <w:sz w:val="16"/>
        </w:rPr>
        <w:t xml:space="preserve">Neither the Securities and Exchange Commission nor any other regulatory body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tbl>
      <w:tblPr>
        <w:tblW w:w="5000" w:type="pct"/>
        <w:jc w:val="center"/>
        <w:tblInd w:w="0" w:type="dxa"/>
        <w:tblLayout w:type="fixed"/>
        <w:tblCellMar>
          <w:top w:w="0" w:type="dxa"/>
          <w:left w:w="0" w:type="dxa"/>
          <w:bottom w:w="0" w:type="dxa"/>
          <w:right w:w="0" w:type="dxa"/>
        </w:tblCellMar>
      </w:tblPr>
      <w:tblGrid>
        <w:gridCol w:w="6896"/>
        <w:gridCol w:w="329"/>
        <w:gridCol w:w="189"/>
        <w:gridCol w:w="1146"/>
        <w:gridCol w:w="74"/>
        <w:gridCol w:w="328"/>
        <w:gridCol w:w="173"/>
        <w:gridCol w:w="991"/>
        <w:gridCol w:w="79"/>
      </w:tblGrid>
      <w:tr>
        <w:trPr/>
        <w:tc>
          <w:tcPr>
            <w:tcW w:w="6896"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6896"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3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689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Initial public offering price</w:t>
            </w:r>
          </w:p>
        </w:tc>
        <w:tc>
          <w:tcPr>
            <w:tcW w:w="32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6896"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discounts and commissions(1)</w:t>
            </w:r>
          </w:p>
        </w:tc>
        <w:tc>
          <w:tcPr>
            <w:tcW w:w="32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6896"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before expenses, to us</w:t>
            </w:r>
          </w:p>
        </w:tc>
        <w:tc>
          <w:tcPr>
            <w:tcW w:w="329"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146"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6896" w:type="dxa"/>
            <w:tcBorders/>
          </w:tcPr>
          <w:p>
            <w:pPr>
              <w:pStyle w:val="TableContents"/>
              <w:bidi w:val="0"/>
              <w:spacing w:before="0" w:after="0"/>
              <w:jc w:val="left"/>
              <w:rPr>
                <w:rFonts w:ascii="Times New Roman" w:hAnsi="Times New Roman"/>
                <w:sz w:val="16"/>
              </w:rPr>
            </w:pPr>
            <w:r>
              <w:rPr>
                <w:rFonts w:ascii="Times New Roman" w:hAnsi="Times New Roman"/>
                <w:sz w:val="16"/>
              </w:rPr>
              <w:t>Proceeds, before expenses, to the selling stockholders</w:t>
            </w:r>
          </w:p>
        </w:tc>
        <w:tc>
          <w:tcPr>
            <w:tcW w:w="329"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146"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991"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We have agreed to reimburse the underwriters for certain expenses. See “Underwriting (Conflicts of Interest).” </w:t>
            </w:r>
          </w:p>
        </w:tc>
      </w:tr>
    </w:tbl>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At our request, the underwriters have reserved up to 5% of the shares of common stock offered by the prospectus for sale, at the initial public offering price, to certain individuals associated with us. See “Underwriting (Conflicts of Interest)—Directed Share Program.”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selling stockholders have granted the underwriters an option for a period of 30 days from the date of this prospectus to purchase up to an additional    shares of our common stock at the initial public offering price, less the underwriting discounts and commissions. We will not receive any proceeds from the sale of shares of our common stock by the selling stockholders, including upon the sale of shares of our common stock by the selling stockholders if the underwriters exercise their option.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Highbridge Capital Management LLC, a holder of approximately 10.5% of the outstanding shares of our common stock, is an indirect subsidiary of J.P. Morgan Chase &amp; Co. and will receive greater than 5% of the net proceeds of this offering. Accordingly, J.P. Morgan Chase &amp; Co. is deemed to have a “conflict of interest” under Rule 5121 of the Financial Industry Regulatory Authority, or FINRA, and this offering is being conducted in accordance with the applicable provisions of FINRA Rule 5121, including the requirement that a “qualified independent underwriter” participate in the preparation of the prospectus and exercise the usual standards of due diligence in connection with such participation. Barclays Capital Inc. has agreed to serve as the qualified independent underwriter for this offering. See “Underwriting (Conflicts of Interest).” </w:t>
      </w:r>
    </w:p>
    <w:p>
      <w:pPr>
        <w:pStyle w:val="TextBody"/>
        <w:bidi w:val="0"/>
        <w:spacing w:before="120" w:after="0"/>
        <w:ind w:left="960" w:right="960" w:hanging="0"/>
        <w:jc w:val="left"/>
        <w:rPr>
          <w:rFonts w:ascii="Times New Roman" w:hAnsi="Times New Roman"/>
          <w:sz w:val="16"/>
        </w:rPr>
      </w:pPr>
      <w:r>
        <w:rPr>
          <w:rFonts w:ascii="Times New Roman" w:hAnsi="Times New Roman"/>
          <w:sz w:val="16"/>
        </w:rPr>
        <w:t xml:space="preserve">The underwriters expect to deliver the shares of common stock to purchasers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left"/>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3067"/>
        <w:gridCol w:w="351"/>
        <w:gridCol w:w="3068"/>
        <w:gridCol w:w="141"/>
        <w:gridCol w:w="3578"/>
      </w:tblGrid>
      <w:tr>
        <w:trPr/>
        <w:tc>
          <w:tcPr>
            <w:tcW w:w="3067"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6486" w:type="dxa"/>
            <w:gridSpan w:val="3"/>
            <w:tcBorders/>
          </w:tcPr>
          <w:p>
            <w:pPr>
              <w:pStyle w:val="TableContents"/>
              <w:bidi w:val="0"/>
              <w:spacing w:before="0" w:after="283"/>
              <w:jc w:val="left"/>
              <w:rPr>
                <w:rFonts w:ascii="Times New Roman" w:hAnsi="Times New Roman"/>
                <w:b/>
              </w:rPr>
            </w:pPr>
            <w:r>
              <w:rPr>
                <w:rFonts w:ascii="Times New Roman" w:hAnsi="Times New Roman"/>
                <w:b/>
              </w:rPr>
              <w:t>J.P. Morgan</w:t>
            </w:r>
          </w:p>
        </w:tc>
        <w:tc>
          <w:tcPr>
            <w:tcW w:w="141" w:type="dxa"/>
            <w:tcBorders/>
            <w:vAlign w:val="bottom"/>
          </w:tcPr>
          <w:p>
            <w:pPr>
              <w:pStyle w:val="TableContents"/>
              <w:bidi w:val="0"/>
              <w:spacing w:before="0" w:after="283"/>
              <w:jc w:val="left"/>
              <w:rPr/>
            </w:pPr>
            <w:r>
              <w:rPr/>
              <w:t> </w:t>
            </w:r>
          </w:p>
        </w:tc>
        <w:tc>
          <w:tcPr>
            <w:tcW w:w="3578" w:type="dxa"/>
            <w:tcBorders/>
            <w:vAlign w:val="bottom"/>
          </w:tcPr>
          <w:p>
            <w:pPr>
              <w:pStyle w:val="TableContents"/>
              <w:bidi w:val="0"/>
              <w:spacing w:before="0" w:after="283"/>
              <w:jc w:val="right"/>
              <w:rPr>
                <w:rFonts w:ascii="Times New Roman" w:hAnsi="Times New Roman"/>
                <w:b/>
              </w:rPr>
            </w:pPr>
            <w:r>
              <w:rPr>
                <w:rFonts w:ascii="Times New Roman" w:hAnsi="Times New Roman"/>
                <w:b/>
              </w:rPr>
              <w:t>Barclays</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1798"/>
        <w:gridCol w:w="86"/>
        <w:gridCol w:w="3524"/>
        <w:gridCol w:w="86"/>
        <w:gridCol w:w="2956"/>
        <w:gridCol w:w="86"/>
        <w:gridCol w:w="1669"/>
      </w:tblGrid>
      <w:tr>
        <w:trPr/>
        <w:tc>
          <w:tcPr>
            <w:tcW w:w="1798"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1798" w:type="dxa"/>
            <w:tcBorders/>
          </w:tcPr>
          <w:p>
            <w:pPr>
              <w:pStyle w:val="TableContents"/>
              <w:bidi w:val="0"/>
              <w:spacing w:before="0" w:after="283"/>
              <w:jc w:val="left"/>
              <w:rPr/>
            </w:pPr>
            <w:r>
              <w:rPr/>
              <w:t>DNB Carnegie</w:t>
            </w:r>
          </w:p>
        </w:tc>
        <w:tc>
          <w:tcPr>
            <w:tcW w:w="86" w:type="dxa"/>
            <w:tcBorders/>
            <w:vAlign w:val="bottom"/>
          </w:tcPr>
          <w:p>
            <w:pPr>
              <w:pStyle w:val="TableContents"/>
              <w:bidi w:val="0"/>
              <w:spacing w:before="0" w:after="283"/>
              <w:jc w:val="left"/>
              <w:rPr/>
            </w:pPr>
            <w:r>
              <w:rPr/>
              <w:t> </w:t>
            </w:r>
          </w:p>
        </w:tc>
        <w:tc>
          <w:tcPr>
            <w:tcW w:w="3524" w:type="dxa"/>
            <w:tcBorders/>
          </w:tcPr>
          <w:p>
            <w:pPr>
              <w:pStyle w:val="TableContents"/>
              <w:bidi w:val="0"/>
              <w:spacing w:before="0" w:after="283"/>
              <w:jc w:val="center"/>
              <w:rPr/>
            </w:pPr>
            <w:r>
              <w:rPr/>
              <w:t>Goldman Sachs &amp; Co. LLC</w:t>
            </w:r>
          </w:p>
        </w:tc>
        <w:tc>
          <w:tcPr>
            <w:tcW w:w="86" w:type="dxa"/>
            <w:tcBorders/>
            <w:vAlign w:val="bottom"/>
          </w:tcPr>
          <w:p>
            <w:pPr>
              <w:pStyle w:val="TableContents"/>
              <w:bidi w:val="0"/>
              <w:spacing w:before="0" w:after="283"/>
              <w:jc w:val="left"/>
              <w:rPr/>
            </w:pPr>
            <w:r>
              <w:rPr/>
              <w:t> </w:t>
            </w:r>
          </w:p>
        </w:tc>
        <w:tc>
          <w:tcPr>
            <w:tcW w:w="2956" w:type="dxa"/>
            <w:tcBorders/>
          </w:tcPr>
          <w:p>
            <w:pPr>
              <w:pStyle w:val="TableContents"/>
              <w:bidi w:val="0"/>
              <w:spacing w:before="0" w:after="283"/>
              <w:jc w:val="center"/>
              <w:rPr/>
            </w:pPr>
            <w:r>
              <w:rPr/>
              <w:t>Guggenheim Securities</w:t>
            </w:r>
          </w:p>
        </w:tc>
        <w:tc>
          <w:tcPr>
            <w:tcW w:w="86" w:type="dxa"/>
            <w:tcBorders/>
            <w:vAlign w:val="bottom"/>
          </w:tcPr>
          <w:p>
            <w:pPr>
              <w:pStyle w:val="TableContents"/>
              <w:bidi w:val="0"/>
              <w:spacing w:before="0" w:after="283"/>
              <w:jc w:val="left"/>
              <w:rPr/>
            </w:pPr>
            <w:r>
              <w:rPr/>
              <w:t> </w:t>
            </w:r>
          </w:p>
        </w:tc>
        <w:tc>
          <w:tcPr>
            <w:tcW w:w="1669" w:type="dxa"/>
            <w:tcBorders/>
          </w:tcPr>
          <w:p>
            <w:pPr>
              <w:pStyle w:val="TableContents"/>
              <w:bidi w:val="0"/>
              <w:spacing w:before="0" w:after="283"/>
              <w:jc w:val="right"/>
              <w:rPr/>
            </w:pPr>
            <w:r>
              <w:rPr/>
              <w:t>Piper Sandler</w:t>
            </w:r>
          </w:p>
        </w:tc>
      </w:tr>
    </w:tbl>
    <w:p>
      <w:pPr>
        <w:pStyle w:val="TextBody"/>
        <w:bidi w:val="0"/>
        <w:spacing w:before="0" w:after="0"/>
        <w:ind w:left="960" w:right="960" w:hanging="0"/>
        <w:jc w:val="left"/>
        <w:rPr/>
      </w:pPr>
      <w:r>
        <w:rPr/>
        <w:t> </w:t>
      </w:r>
    </w:p>
    <w:tbl>
      <w:tblPr>
        <w:tblW w:w="10030" w:type="dxa"/>
        <w:jc w:val="center"/>
        <w:tblInd w:w="0" w:type="dxa"/>
        <w:tblLayout w:type="fixed"/>
        <w:tblCellMar>
          <w:top w:w="0" w:type="dxa"/>
          <w:left w:w="0" w:type="dxa"/>
          <w:bottom w:w="0" w:type="dxa"/>
          <w:right w:w="0" w:type="dxa"/>
        </w:tblCellMar>
      </w:tblPr>
      <w:tblGrid>
        <w:gridCol w:w="1580"/>
        <w:gridCol w:w="60"/>
        <w:gridCol w:w="590"/>
        <w:gridCol w:w="120"/>
        <w:gridCol w:w="2525"/>
        <w:gridCol w:w="120"/>
        <w:gridCol w:w="2495"/>
        <w:gridCol w:w="120"/>
        <w:gridCol w:w="2420"/>
      </w:tblGrid>
      <w:tr>
        <w:trPr/>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283"/>
              <w:jc w:val="left"/>
              <w:rPr/>
            </w:pPr>
            <w:r>
              <w:rPr/>
              <w:t>Raymond James</w:t>
            </w:r>
          </w:p>
        </w:tc>
        <w:tc>
          <w:tcPr>
            <w:tcW w:w="60" w:type="dxa"/>
            <w:tcBorders/>
            <w:vAlign w:val="bottom"/>
          </w:tcPr>
          <w:p>
            <w:pPr>
              <w:pStyle w:val="TableContents"/>
              <w:bidi w:val="0"/>
              <w:spacing w:before="0" w:after="283"/>
              <w:jc w:val="left"/>
              <w:rPr/>
            </w:pPr>
            <w:r>
              <w:rPr/>
              <w:t> </w:t>
            </w:r>
          </w:p>
        </w:tc>
        <w:tc>
          <w:tcPr>
            <w:tcW w:w="590" w:type="dxa"/>
            <w:tcBorders/>
          </w:tcPr>
          <w:p>
            <w:pPr>
              <w:pStyle w:val="TableContents"/>
              <w:bidi w:val="0"/>
              <w:spacing w:before="0" w:after="283"/>
              <w:jc w:val="center"/>
              <w:rPr/>
            </w:pPr>
            <w:r>
              <w:rPr/>
              <w:t>BTIG</w:t>
            </w:r>
          </w:p>
        </w:tc>
        <w:tc>
          <w:tcPr>
            <w:tcW w:w="120" w:type="dxa"/>
            <w:tcBorders/>
            <w:vAlign w:val="bottom"/>
          </w:tcPr>
          <w:p>
            <w:pPr>
              <w:pStyle w:val="TableContents"/>
              <w:bidi w:val="0"/>
              <w:spacing w:before="0" w:after="283"/>
              <w:jc w:val="left"/>
              <w:rPr/>
            </w:pPr>
            <w:r>
              <w:rPr/>
              <w:t>  </w:t>
            </w:r>
          </w:p>
        </w:tc>
        <w:tc>
          <w:tcPr>
            <w:tcW w:w="2525" w:type="dxa"/>
            <w:tcBorders/>
          </w:tcPr>
          <w:p>
            <w:pPr>
              <w:pStyle w:val="TableContents"/>
              <w:bidi w:val="0"/>
              <w:spacing w:before="0" w:after="283"/>
              <w:jc w:val="center"/>
              <w:rPr/>
            </w:pPr>
            <w:r>
              <w:rPr/>
              <w:t>Johnson Rice &amp; Company</w:t>
            </w:r>
          </w:p>
        </w:tc>
        <w:tc>
          <w:tcPr>
            <w:tcW w:w="120" w:type="dxa"/>
            <w:tcBorders/>
            <w:vAlign w:val="bottom"/>
          </w:tcPr>
          <w:p>
            <w:pPr>
              <w:pStyle w:val="TableContents"/>
              <w:bidi w:val="0"/>
              <w:spacing w:before="0" w:after="283"/>
              <w:jc w:val="left"/>
              <w:rPr/>
            </w:pPr>
            <w:r>
              <w:rPr/>
              <w:t>  </w:t>
            </w:r>
          </w:p>
        </w:tc>
        <w:tc>
          <w:tcPr>
            <w:tcW w:w="2495" w:type="dxa"/>
            <w:tcBorders/>
          </w:tcPr>
          <w:p>
            <w:pPr>
              <w:pStyle w:val="TableContents"/>
              <w:bidi w:val="0"/>
              <w:spacing w:before="0" w:after="283"/>
              <w:jc w:val="center"/>
              <w:rPr/>
            </w:pPr>
            <w:r>
              <w:rPr/>
              <w:t>Pickering Energy Partners</w:t>
            </w:r>
          </w:p>
        </w:tc>
        <w:tc>
          <w:tcPr>
            <w:tcW w:w="120" w:type="dxa"/>
            <w:tcBorders/>
            <w:vAlign w:val="bottom"/>
          </w:tcPr>
          <w:p>
            <w:pPr>
              <w:pStyle w:val="TableContents"/>
              <w:bidi w:val="0"/>
              <w:spacing w:before="0" w:after="283"/>
              <w:jc w:val="left"/>
              <w:rPr/>
            </w:pPr>
            <w:r>
              <w:rPr/>
              <w:t>  </w:t>
            </w:r>
          </w:p>
        </w:tc>
        <w:tc>
          <w:tcPr>
            <w:tcW w:w="2420" w:type="dxa"/>
            <w:tcBorders/>
          </w:tcPr>
          <w:p>
            <w:pPr>
              <w:pStyle w:val="TableContents"/>
              <w:bidi w:val="0"/>
              <w:spacing w:before="0" w:after="283"/>
              <w:jc w:val="left"/>
              <w:rPr/>
            </w:pPr>
            <w:r>
              <w:rPr/>
              <w:t>Seaport Global Securities</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1407"/>
        <w:gridCol w:w="141"/>
        <w:gridCol w:w="1938"/>
        <w:gridCol w:w="391"/>
        <w:gridCol w:w="1941"/>
        <w:gridCol w:w="140"/>
        <w:gridCol w:w="2530"/>
        <w:gridCol w:w="140"/>
        <w:gridCol w:w="1577"/>
      </w:tblGrid>
      <w:tr>
        <w:trPr/>
        <w:tc>
          <w:tcPr>
            <w:tcW w:w="1407"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391" w:type="dxa"/>
            <w:tcBorders/>
            <w:vAlign w:val="bottom"/>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r>
      <w:tr>
        <w:trPr/>
        <w:tc>
          <w:tcPr>
            <w:tcW w:w="1407"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270" w:type="dxa"/>
            <w:gridSpan w:val="3"/>
            <w:tcBorders/>
          </w:tcPr>
          <w:p>
            <w:pPr>
              <w:pStyle w:val="TableContents"/>
              <w:bidi w:val="0"/>
              <w:spacing w:before="0" w:after="283"/>
              <w:jc w:val="left"/>
              <w:rPr/>
            </w:pPr>
            <w:r>
              <w:rPr/>
              <w:t>Academy Securities</w:t>
            </w:r>
          </w:p>
        </w:tc>
        <w:tc>
          <w:tcPr>
            <w:tcW w:w="140" w:type="dxa"/>
            <w:tcBorders/>
            <w:vAlign w:val="bottom"/>
          </w:tcPr>
          <w:p>
            <w:pPr>
              <w:pStyle w:val="TableContents"/>
              <w:bidi w:val="0"/>
              <w:spacing w:before="0" w:after="283"/>
              <w:jc w:val="left"/>
              <w:rPr/>
            </w:pPr>
            <w:r>
              <w:rPr/>
              <w:t> </w:t>
            </w:r>
          </w:p>
        </w:tc>
        <w:tc>
          <w:tcPr>
            <w:tcW w:w="2530" w:type="dxa"/>
            <w:tcBorders/>
          </w:tcPr>
          <w:p>
            <w:pPr>
              <w:pStyle w:val="TableContents"/>
              <w:bidi w:val="0"/>
              <w:spacing w:before="0" w:after="283"/>
              <w:jc w:val="left"/>
              <w:rPr/>
            </w:pPr>
            <w:r>
              <w:rPr/>
              <w:t>Drexel Hamilton</w:t>
            </w:r>
          </w:p>
        </w:tc>
        <w:tc>
          <w:tcPr>
            <w:tcW w:w="140" w:type="dxa"/>
            <w:tcBorders/>
            <w:vAlign w:val="bottom"/>
          </w:tcPr>
          <w:p>
            <w:pPr>
              <w:pStyle w:val="TableContents"/>
              <w:bidi w:val="0"/>
              <w:spacing w:before="0" w:after="283"/>
              <w:jc w:val="left"/>
              <w:rPr/>
            </w:pPr>
            <w:r>
              <w:rPr/>
              <w:t> </w:t>
            </w:r>
          </w:p>
        </w:tc>
        <w:tc>
          <w:tcPr>
            <w:tcW w:w="1577" w:type="dxa"/>
            <w:tcBorders/>
          </w:tcPr>
          <w:p>
            <w:pPr>
              <w:pStyle w:val="TableContents"/>
              <w:bidi w:val="0"/>
              <w:spacing w:before="0" w:after="283"/>
              <w:jc w:val="left"/>
              <w:rPr>
                <w:sz w:val="4"/>
                <w:szCs w:val="4"/>
              </w:rPr>
            </w:pPr>
            <w:r>
              <w:rPr>
                <w:sz w:val="4"/>
                <w:szCs w:val="4"/>
              </w:rPr>
            </w:r>
          </w:p>
        </w:tc>
      </w:tr>
    </w:tbl>
    <w:p>
      <w:pPr>
        <w:pStyle w:val="TextBody"/>
        <w:bidi w:val="0"/>
        <w:spacing w:before="120" w:after="0"/>
        <w:ind w:left="960" w:right="960" w:hanging="0"/>
        <w:jc w:val="center"/>
        <w:rPr>
          <w:rFonts w:ascii="Times New Roman" w:hAnsi="Times New Roman"/>
          <w:sz w:val="16"/>
        </w:rPr>
      </w:pPr>
      <w:r>
        <w:rPr>
          <w:rFonts w:ascii="Times New Roman" w:hAnsi="Times New Roman"/>
          <w:sz w:val="16"/>
        </w:rPr>
        <w:t xml:space="preserve">Prospectus dated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
              <w:r>
                <w:rPr>
                  <w:rStyle w:val="InternetLink"/>
                  <w:rFonts w:ascii="Times New Roman" w:hAnsi="Times New Roman"/>
                  <w:sz w:val="20"/>
                </w:rPr>
                <w:t>SPECIAL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x</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2">
              <w:r>
                <w:rPr>
                  <w:rStyle w:val="InternetLink"/>
                  <w:rFonts w:ascii="Times New Roman" w:hAnsi="Times New Roman"/>
                  <w:sz w:val="20"/>
                </w:rPr>
                <w:t>SUMMARY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3">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4">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5">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6">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7">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8">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9">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0">
              <w:r>
                <w:rPr>
                  <w:rStyle w:val="InternetLink"/>
                  <w:rFonts w:ascii="Times New Roman" w:hAnsi="Times New Roman"/>
                  <w:sz w:val="20"/>
                </w:rPr>
                <w:t>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1">
              <w:r>
                <w:rPr>
                  <w:rStyle w:val="InternetLink"/>
                  <w:rFonts w:ascii="Times New Roman" w:hAnsi="Times New Roman"/>
                  <w:sz w:val="20"/>
                </w:rPr>
                <w:t>EXECUTIVE COMPENSATION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911">
              <w:r>
                <w:rPr>
                  <w:rStyle w:val="InternetLink"/>
                  <w:rFonts w:ascii="Times New Roman" w:hAnsi="Times New Roman"/>
                  <w:sz w:val="20"/>
                </w:rPr>
                <w:t>PRINCIPAL AND SELLING STOCKHOLDERS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912">
              <w:r>
                <w:rPr>
                  <w:rStyle w:val="InternetLink"/>
                  <w:rFonts w:ascii="Times New Roman" w:hAnsi="Times New Roman"/>
                  <w:sz w:val="20"/>
                </w:rPr>
                <w:t>CERTAIN RELATIONSHIPS AND RELATED PARTY TRANSACTIONS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2">
              <w:r>
                <w:rPr>
                  <w:rStyle w:val="InternetLink"/>
                  <w:rFonts w:ascii="Times New Roman" w:hAnsi="Times New Roman"/>
                  <w:sz w:val="20"/>
                </w:rPr>
                <w:t>DESCRIPTION OF CAPITAL STOCK AND WARRANTS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3">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4">
              <w:r>
                <w:rPr>
                  <w:rStyle w:val="InternetLink"/>
                  <w:rFonts w:ascii="Times New Roman" w:hAnsi="Times New Roman"/>
                  <w:sz w:val="20"/>
                </w:rPr>
                <w:t>MATERIAL U.S. FEDERAL INCOME TAX CONSIDERATIONS FOR NON-U.S. 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5">
              <w:r>
                <w:rPr>
                  <w:rStyle w:val="InternetLink"/>
                  <w:rFonts w:ascii="Times New Roman" w:hAnsi="Times New Roman"/>
                  <w:sz w:val="20"/>
                </w:rPr>
                <w:t>UNDERWRITING (CONFLICTS OF INTEREST)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197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6">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204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7">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204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8">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204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rom66194_19">
              <w:r>
                <w:rPr>
                  <w:rStyle w:val="InternetLink"/>
                  <w:rFonts w:ascii="Times New Roman" w:hAnsi="Times New Roman"/>
                  <w:sz w:val="20"/>
                </w:rPr>
                <w:t>INDEX TO FINANCIAL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Through and including    ,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240" w:after="0"/>
        <w:jc w:val="left"/>
        <w:rPr>
          <w:rFonts w:ascii="Times New Roman" w:hAnsi="Times New Roman"/>
          <w:sz w:val="20"/>
        </w:rPr>
      </w:pPr>
      <w:r>
        <w:rPr>
          <w:rFonts w:ascii="Times New Roman" w:hAnsi="Times New Roman"/>
          <w:sz w:val="20"/>
        </w:rPr>
        <w:t xml:space="preserve">Neither we, the selling stockholders, nor the underwriters (and any of our or their affiliates) have done anything that would permit this offering or possession or distribution of this prospectus in any jurisdiction where action for that purpose is required, other than in the United States. Persons outside the United States who obtain this prospectus must inform themselves about, and observe any restrictions relating to, the offering of the shares of common stock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COMMONLY USED DEFINED TERMS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indicates or otherwise requires, the terms listed below have the following meanings: </w:t>
      </w:r>
    </w:p>
    <w:p>
      <w:pPr>
        <w:pStyle w:val="TextBody"/>
        <w:bidi w:val="0"/>
        <w:spacing w:before="240" w:after="0"/>
        <w:jc w:val="left"/>
        <w:rPr/>
      </w:pPr>
      <w:r>
        <w:rPr/>
        <w:t>“</w:t>
      </w:r>
      <w:r>
        <w:rPr>
          <w:rFonts w:ascii="Times New Roman" w:hAnsi="Times New Roman"/>
          <w:i/>
          <w:sz w:val="20"/>
        </w:rPr>
        <w:t>2026 Omnibus Incentive Plan</w:t>
      </w:r>
      <w:r>
        <w:rPr>
          <w:rFonts w:ascii="Times New Roman" w:hAnsi="Times New Roman"/>
          <w:sz w:val="20"/>
        </w:rPr>
        <w:t xml:space="preserve">” means Hornbeck Offshore Services, Inc. 2026 Omnibus Incentive Plan, the form of which is filed as an exhibit to the registration statement of which this prospectus forms a part; </w:t>
      </w:r>
    </w:p>
    <w:p>
      <w:pPr>
        <w:pStyle w:val="TextBody"/>
        <w:bidi w:val="0"/>
        <w:spacing w:before="240" w:after="0"/>
        <w:jc w:val="left"/>
        <w:rPr/>
      </w:pPr>
      <w:r>
        <w:rPr/>
        <w:t>“</w:t>
      </w:r>
      <w:r>
        <w:rPr>
          <w:rFonts w:ascii="Times New Roman" w:hAnsi="Times New Roman"/>
          <w:i/>
          <w:sz w:val="20"/>
        </w:rPr>
        <w:t>2020 Management Incentive Plan</w:t>
      </w:r>
      <w:r>
        <w:rPr>
          <w:rFonts w:ascii="Times New Roman" w:hAnsi="Times New Roman"/>
          <w:sz w:val="20"/>
        </w:rPr>
        <w:t xml:space="preserve">” means the 2020 Management Incentive Plan of Hornbeck Offshore Services, Inc., as amended by that certain First Amendment to 2020 Management Incentive Plan of Hornbeck Offshore Services, Inc., and as further amended by that certain Second Amendment to 2020 Management Incentive Plan of Hornbeck Offshore Services, Inc., copies of which are filed as exhibits to the registration statement of which this prospectus forms a part; </w:t>
      </w:r>
    </w:p>
    <w:p>
      <w:pPr>
        <w:pStyle w:val="TextBody"/>
        <w:bidi w:val="0"/>
        <w:spacing w:before="240" w:after="0"/>
        <w:jc w:val="left"/>
        <w:rPr/>
      </w:pPr>
      <w:r>
        <w:rPr/>
        <w:t>“</w:t>
      </w:r>
      <w:r>
        <w:rPr>
          <w:rFonts w:ascii="Times New Roman" w:hAnsi="Times New Roman"/>
          <w:i/>
          <w:sz w:val="20"/>
        </w:rPr>
        <w:t>Annual Financial Statements</w:t>
      </w:r>
      <w:r>
        <w:rPr>
          <w:rFonts w:ascii="Times New Roman" w:hAnsi="Times New Roman"/>
          <w:sz w:val="20"/>
        </w:rPr>
        <w:t xml:space="preserve">” means the audited consolidated financial statements of Hornbeck Offshore Services, Inc. at December 31, 2024 and 2023, and for the years ended December 31, 2024, 2023 and 2022; </w:t>
      </w:r>
    </w:p>
    <w:p>
      <w:pPr>
        <w:pStyle w:val="TextBody"/>
        <w:bidi w:val="0"/>
        <w:spacing w:before="240" w:after="0"/>
        <w:jc w:val="left"/>
        <w:rPr/>
      </w:pPr>
      <w:r>
        <w:rPr/>
        <w:t>“</w:t>
      </w:r>
      <w:r>
        <w:rPr>
          <w:rFonts w:ascii="Times New Roman" w:hAnsi="Times New Roman"/>
          <w:i/>
          <w:sz w:val="20"/>
        </w:rPr>
        <w:t>Ares</w:t>
      </w:r>
      <w:r>
        <w:rPr>
          <w:rFonts w:ascii="Times New Roman" w:hAnsi="Times New Roman"/>
          <w:sz w:val="20"/>
        </w:rPr>
        <w:t xml:space="preserve">” means Ares Management LLC; </w:t>
      </w:r>
    </w:p>
    <w:p>
      <w:pPr>
        <w:pStyle w:val="TextBody"/>
        <w:bidi w:val="0"/>
        <w:spacing w:before="240" w:after="0"/>
        <w:jc w:val="left"/>
        <w:rPr/>
      </w:pPr>
      <w:r>
        <w:rPr/>
        <w:t>“</w:t>
      </w:r>
      <w:r>
        <w:rPr>
          <w:rFonts w:ascii="Times New Roman" w:hAnsi="Times New Roman"/>
          <w:i/>
          <w:sz w:val="20"/>
        </w:rPr>
        <w:t>ASC</w:t>
      </w:r>
      <w:r>
        <w:rPr>
          <w:rFonts w:ascii="Times New Roman" w:hAnsi="Times New Roman"/>
          <w:sz w:val="20"/>
        </w:rPr>
        <w:t xml:space="preserve">” means Financial Accounting Standards Board Accounting Standards Codification; </w:t>
      </w:r>
    </w:p>
    <w:p>
      <w:pPr>
        <w:pStyle w:val="TextBody"/>
        <w:bidi w:val="0"/>
        <w:spacing w:before="240" w:after="0"/>
        <w:jc w:val="left"/>
        <w:rPr/>
      </w:pPr>
      <w:r>
        <w:rPr/>
        <w:t>“</w:t>
      </w:r>
      <w:r>
        <w:rPr>
          <w:rFonts w:ascii="Times New Roman" w:hAnsi="Times New Roman"/>
          <w:i/>
          <w:sz w:val="20"/>
        </w:rPr>
        <w:t>Chapter 11 Cases</w:t>
      </w:r>
      <w:r>
        <w:rPr>
          <w:rFonts w:ascii="Times New Roman" w:hAnsi="Times New Roman"/>
          <w:sz w:val="20"/>
        </w:rPr>
        <w:t xml:space="preserve">” means the Company’s Chapter 11 cases in the United States Bankruptcy Court for the Southern District of Texas, Houston Division, or the Bankruptcy Court, consummated September 4, 2020;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w:t>
      </w:r>
      <w:r>
        <w:rPr>
          <w:rFonts w:ascii="Times New Roman" w:hAnsi="Times New Roman"/>
          <w:i/>
          <w:sz w:val="20"/>
        </w:rPr>
        <w:t>Hornbeck</w:t>
      </w:r>
      <w:r>
        <w:rPr>
          <w:rFonts w:ascii="Times New Roman" w:hAnsi="Times New Roman"/>
          <w:sz w:val="20"/>
        </w:rPr>
        <w:t>,” “</w:t>
      </w:r>
      <w:r>
        <w:rPr>
          <w:rFonts w:ascii="Times New Roman" w:hAnsi="Times New Roman"/>
          <w:i/>
          <w:sz w:val="20"/>
        </w:rPr>
        <w:t>we</w:t>
      </w:r>
      <w:r>
        <w:rPr>
          <w:rFonts w:ascii="Times New Roman" w:hAnsi="Times New Roman"/>
          <w:sz w:val="20"/>
        </w:rPr>
        <w:t>,” “</w:t>
      </w:r>
      <w:r>
        <w:rPr>
          <w:rFonts w:ascii="Times New Roman" w:hAnsi="Times New Roman"/>
          <w:i/>
          <w:sz w:val="20"/>
        </w:rPr>
        <w:t>our</w:t>
      </w:r>
      <w:r>
        <w:rPr>
          <w:rFonts w:ascii="Times New Roman" w:hAnsi="Times New Roman"/>
          <w:sz w:val="20"/>
        </w:rPr>
        <w:t>” or “</w:t>
      </w:r>
      <w:r>
        <w:rPr>
          <w:rFonts w:ascii="Times New Roman" w:hAnsi="Times New Roman"/>
          <w:i/>
          <w:sz w:val="20"/>
        </w:rPr>
        <w:t>us</w:t>
      </w:r>
      <w:r>
        <w:rPr>
          <w:rFonts w:ascii="Times New Roman" w:hAnsi="Times New Roman"/>
          <w:sz w:val="20"/>
        </w:rPr>
        <w:t xml:space="preserve">” means, unless otherwise indicated or the context otherwise requires, Hornbeck Offshore Services, Inc., a Delaware corporation, and its consolidated subsidiaries; </w:t>
      </w:r>
    </w:p>
    <w:p>
      <w:pPr>
        <w:pStyle w:val="TextBody"/>
        <w:bidi w:val="0"/>
        <w:spacing w:before="240" w:after="0"/>
        <w:jc w:val="left"/>
        <w:rPr/>
      </w:pPr>
      <w:r>
        <w:rPr/>
        <w:t>“</w:t>
      </w:r>
      <w:r>
        <w:rPr>
          <w:rFonts w:ascii="Times New Roman" w:hAnsi="Times New Roman"/>
          <w:i/>
          <w:sz w:val="20"/>
        </w:rPr>
        <w:t>Credit Agreement Closing Date</w:t>
      </w:r>
      <w:r>
        <w:rPr>
          <w:rFonts w:ascii="Times New Roman" w:hAnsi="Times New Roman"/>
          <w:sz w:val="20"/>
        </w:rPr>
        <w:t xml:space="preserve">” means the closing date of the First Lien Credit Agreement; </w:t>
      </w:r>
    </w:p>
    <w:p>
      <w:pPr>
        <w:pStyle w:val="TextBody"/>
        <w:bidi w:val="0"/>
        <w:spacing w:before="240" w:after="0"/>
        <w:jc w:val="left"/>
        <w:rPr/>
      </w:pPr>
      <w:r>
        <w:rPr/>
        <w:t>“</w:t>
      </w:r>
      <w:r>
        <w:rPr>
          <w:rFonts w:ascii="Times New Roman" w:hAnsi="Times New Roman"/>
          <w:i/>
          <w:sz w:val="20"/>
        </w:rPr>
        <w:t>Creditor Warrants</w:t>
      </w:r>
      <w:r>
        <w:rPr>
          <w:rFonts w:ascii="Times New Roman" w:hAnsi="Times New Roman"/>
          <w:sz w:val="20"/>
        </w:rPr>
        <w:t xml:space="preserve">” means those certain warrants issued to certain claimants in settlement of certain pre-Chapter 11 Cases liabilities; </w:t>
      </w:r>
    </w:p>
    <w:p>
      <w:pPr>
        <w:pStyle w:val="TextBody"/>
        <w:bidi w:val="0"/>
        <w:spacing w:before="240" w:after="0"/>
        <w:jc w:val="left"/>
        <w:rPr/>
      </w:pPr>
      <w:r>
        <w:rPr/>
        <w:t>“</w:t>
      </w:r>
      <w:r>
        <w:rPr>
          <w:rFonts w:ascii="Times New Roman" w:hAnsi="Times New Roman"/>
          <w:i/>
          <w:sz w:val="20"/>
        </w:rPr>
        <w:t>Eastern</w:t>
      </w:r>
      <w:r>
        <w:rPr>
          <w:rFonts w:ascii="Times New Roman" w:hAnsi="Times New Roman"/>
          <w:sz w:val="20"/>
        </w:rPr>
        <w:t xml:space="preserve">” means Eastern Shipbuilding Group, Inc.; </w:t>
      </w:r>
    </w:p>
    <w:p>
      <w:pPr>
        <w:pStyle w:val="TextBody"/>
        <w:bidi w:val="0"/>
        <w:spacing w:before="240" w:after="0"/>
        <w:jc w:val="left"/>
        <w:rPr/>
      </w:pPr>
      <w:r>
        <w:rPr/>
        <w:t>“</w:t>
      </w:r>
      <w:r>
        <w:rPr>
          <w:rFonts w:ascii="Times New Roman" w:hAnsi="Times New Roman"/>
          <w:i/>
          <w:sz w:val="20"/>
        </w:rPr>
        <w:t>ECO</w:t>
      </w:r>
      <w:r>
        <w:rPr>
          <w:rFonts w:ascii="Times New Roman" w:hAnsi="Times New Roman"/>
          <w:sz w:val="20"/>
        </w:rPr>
        <w:t xml:space="preserve">” means Edison Chouest Offshore; </w:t>
      </w:r>
    </w:p>
    <w:p>
      <w:pPr>
        <w:pStyle w:val="TextBody"/>
        <w:bidi w:val="0"/>
        <w:spacing w:before="240" w:after="0"/>
        <w:jc w:val="left"/>
        <w:rPr/>
      </w:pPr>
      <w:r>
        <w:rPr/>
        <w:t>“</w:t>
      </w:r>
      <w:r>
        <w:rPr>
          <w:rFonts w:ascii="Times New Roman" w:hAnsi="Times New Roman"/>
          <w:i/>
          <w:sz w:val="20"/>
        </w:rPr>
        <w:t>ECO Acquisitions</w:t>
      </w:r>
      <w:r>
        <w:rPr>
          <w:rFonts w:ascii="Times New Roman" w:hAnsi="Times New Roman"/>
          <w:sz w:val="20"/>
        </w:rPr>
        <w:t xml:space="preserve">” means the ECO Acquisitions #1 and the ECO Acquisitions #2; </w:t>
      </w:r>
    </w:p>
    <w:p>
      <w:pPr>
        <w:pStyle w:val="TextBody"/>
        <w:bidi w:val="0"/>
        <w:spacing w:before="240" w:after="0"/>
        <w:jc w:val="left"/>
        <w:rPr/>
      </w:pPr>
      <w:r>
        <w:rPr/>
        <w:t>“</w:t>
      </w:r>
      <w:r>
        <w:rPr>
          <w:rFonts w:ascii="Times New Roman" w:hAnsi="Times New Roman"/>
          <w:i/>
          <w:sz w:val="20"/>
        </w:rPr>
        <w:t>ECO Acquisitions #1</w:t>
      </w:r>
      <w:r>
        <w:rPr>
          <w:rFonts w:ascii="Times New Roman" w:hAnsi="Times New Roman"/>
          <w:sz w:val="20"/>
        </w:rPr>
        <w:t xml:space="preserve">” means the acquisition of six high-spec OSVs effected pursuant to the definitive purchase agreements the Company entered into with certain affiliates of ECO on January 10, 2022, as amended; </w:t>
      </w:r>
    </w:p>
    <w:p>
      <w:pPr>
        <w:pStyle w:val="TextBody"/>
        <w:bidi w:val="0"/>
        <w:spacing w:before="240" w:after="0"/>
        <w:jc w:val="left"/>
        <w:rPr/>
      </w:pPr>
      <w:r>
        <w:rPr/>
        <w:t>“</w:t>
      </w:r>
      <w:r>
        <w:rPr>
          <w:rFonts w:ascii="Times New Roman" w:hAnsi="Times New Roman"/>
          <w:i/>
          <w:sz w:val="20"/>
        </w:rPr>
        <w:t>ECO Acquisitions #2</w:t>
      </w:r>
      <w:r>
        <w:rPr>
          <w:rFonts w:ascii="Times New Roman" w:hAnsi="Times New Roman"/>
          <w:sz w:val="20"/>
        </w:rPr>
        <w:t xml:space="preserve">” means the acquisition of six high-spec OSVs effected as contemplated by the controlling purchase agreement the Company entered into with Nautical, an ECO affiliate, on December 22, 2022, as subsequently divided into separate agreements and as each was amended; </w:t>
      </w:r>
    </w:p>
    <w:p>
      <w:pPr>
        <w:pStyle w:val="TextBody"/>
        <w:bidi w:val="0"/>
        <w:spacing w:before="240" w:after="0"/>
        <w:jc w:val="left"/>
        <w:rPr/>
      </w:pPr>
      <w:r>
        <w:rPr/>
        <w:t>“</w:t>
      </w:r>
      <w:r>
        <w:rPr>
          <w:rFonts w:ascii="Times New Roman" w:hAnsi="Times New Roman"/>
          <w:i/>
          <w:sz w:val="20"/>
        </w:rPr>
        <w:t>Financial Statements</w:t>
      </w:r>
      <w:r>
        <w:rPr>
          <w:rFonts w:ascii="Times New Roman" w:hAnsi="Times New Roman"/>
          <w:sz w:val="20"/>
        </w:rPr>
        <w:t xml:space="preserve">” means our Annual Financial Statements and our Quarterly Financial Statements; </w:t>
      </w:r>
    </w:p>
    <w:p>
      <w:pPr>
        <w:pStyle w:val="TextBody"/>
        <w:bidi w:val="0"/>
        <w:spacing w:before="240" w:after="0"/>
        <w:jc w:val="left"/>
        <w:rPr/>
      </w:pPr>
      <w:r>
        <w:rPr/>
        <w:t>“</w:t>
      </w:r>
      <w:r>
        <w:rPr>
          <w:rFonts w:ascii="Times New Roman" w:hAnsi="Times New Roman"/>
          <w:i/>
          <w:sz w:val="20"/>
        </w:rPr>
        <w:t>First Lien Credit Agreement</w:t>
      </w:r>
      <w:r>
        <w:rPr>
          <w:rFonts w:ascii="Times New Roman" w:hAnsi="Times New Roman"/>
          <w:sz w:val="20"/>
        </w:rPr>
        <w:t xml:space="preserve">” means the Credit Agreement, dated as of August 13, 2024, as amended by that certain First Amendment to Credit Agreement, dated as of December 27, 2024, by and among the Company, DNB Bank ASA, New York Branch, as administrative agent, Wilmington Trust, National Association, as collateral agent and collateral trustee, and the lenders party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First Lien Revolving Credit Facility</w:t>
      </w:r>
      <w:r>
        <w:rPr>
          <w:rFonts w:ascii="Times New Roman" w:hAnsi="Times New Roman"/>
          <w:sz w:val="20"/>
        </w:rPr>
        <w:t xml:space="preserve">” means the revolving credit facility established pursuant to the terms of the First Lien Credit Agreement;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i/>
          <w:sz w:val="20"/>
        </w:rPr>
        <w:t>Gulf Island</w:t>
      </w:r>
      <w:r>
        <w:rPr>
          <w:rFonts w:ascii="Times New Roman" w:hAnsi="Times New Roman"/>
          <w:sz w:val="20"/>
        </w:rPr>
        <w:t xml:space="preserve">” means Gulf Island Shipyards, LLC; </w:t>
      </w:r>
    </w:p>
    <w:p>
      <w:pPr>
        <w:pStyle w:val="TextBody"/>
        <w:bidi w:val="0"/>
        <w:spacing w:before="240" w:after="0"/>
        <w:jc w:val="left"/>
        <w:rPr/>
      </w:pPr>
      <w:r>
        <w:rPr/>
        <w:t>“</w:t>
      </w:r>
      <w:r>
        <w:rPr>
          <w:rFonts w:ascii="Times New Roman" w:hAnsi="Times New Roman"/>
          <w:i/>
          <w:sz w:val="20"/>
        </w:rPr>
        <w:t>high-specification</w:t>
      </w:r>
      <w:r>
        <w:rPr>
          <w:rFonts w:ascii="Times New Roman" w:hAnsi="Times New Roman"/>
          <w:sz w:val="20"/>
        </w:rPr>
        <w:t>” or “</w:t>
      </w:r>
      <w:r>
        <w:rPr>
          <w:rFonts w:ascii="Times New Roman" w:hAnsi="Times New Roman"/>
          <w:i/>
          <w:sz w:val="20"/>
        </w:rPr>
        <w:t>high-spec</w:t>
      </w:r>
      <w:r>
        <w:rPr>
          <w:rFonts w:ascii="Times New Roman" w:hAnsi="Times New Roman"/>
          <w:sz w:val="20"/>
        </w:rPr>
        <w:t xml:space="preserve">” means, when referring to OSVs, vessels with cargo-carrying capacity of between 3,500 and 5,000 DWT (i.e., primarily 265 to 280 class OSV notations), and dynamic-positioning systems with a DP-2 classification or higher; for the avoidance of doubt, any MPSV is a high-spec vessel (other than any MPSVs of greater than 5,000 DWT, which are ultra high-spec vessels); </w:t>
      </w:r>
    </w:p>
    <w:p>
      <w:pPr>
        <w:pStyle w:val="TextBody"/>
        <w:bidi w:val="0"/>
        <w:spacing w:before="240" w:after="0"/>
        <w:jc w:val="left"/>
        <w:rPr/>
      </w:pPr>
      <w:r>
        <w:rPr/>
        <w:t>“</w:t>
      </w:r>
      <w:r>
        <w:rPr>
          <w:rFonts w:ascii="Times New Roman" w:hAnsi="Times New Roman"/>
          <w:i/>
          <w:sz w:val="20"/>
        </w:rPr>
        <w:t>Highbridge</w:t>
      </w:r>
      <w:r>
        <w:rPr>
          <w:rFonts w:ascii="Times New Roman" w:hAnsi="Times New Roman"/>
          <w:sz w:val="20"/>
        </w:rPr>
        <w:t xml:space="preserve">” means Highbridge Capital Management LLC; </w:t>
      </w:r>
    </w:p>
    <w:p>
      <w:pPr>
        <w:pStyle w:val="TextBody"/>
        <w:bidi w:val="0"/>
        <w:spacing w:before="240" w:after="0"/>
        <w:jc w:val="left"/>
        <w:rPr/>
      </w:pPr>
      <w:r>
        <w:rPr/>
        <w:t>“</w:t>
      </w:r>
      <w:r>
        <w:rPr>
          <w:rFonts w:ascii="Times New Roman" w:hAnsi="Times New Roman"/>
          <w:i/>
          <w:sz w:val="20"/>
        </w:rPr>
        <w:t>HADR</w:t>
      </w:r>
      <w:r>
        <w:rPr>
          <w:rFonts w:ascii="Times New Roman" w:hAnsi="Times New Roman"/>
          <w:sz w:val="20"/>
        </w:rPr>
        <w:t xml:space="preserve">” means humanitarian aid and disaster relief; </w:t>
      </w:r>
    </w:p>
    <w:p>
      <w:pPr>
        <w:pStyle w:val="TextBody"/>
        <w:bidi w:val="0"/>
        <w:spacing w:before="240" w:after="0"/>
        <w:jc w:val="left"/>
        <w:rPr/>
      </w:pPr>
      <w:r>
        <w:rPr/>
        <w:t>“</w:t>
      </w:r>
      <w:r>
        <w:rPr>
          <w:rFonts w:ascii="Times New Roman" w:hAnsi="Times New Roman"/>
          <w:i/>
          <w:sz w:val="20"/>
        </w:rPr>
        <w:t>Jones Act Warrants</w:t>
      </w:r>
      <w:r>
        <w:rPr>
          <w:rFonts w:ascii="Times New Roman" w:hAnsi="Times New Roman"/>
          <w:sz w:val="20"/>
        </w:rPr>
        <w:t xml:space="preserve">” means those certain warrants issued to certain non-U.S. citizens in settlement of certain pre-Chapter 11 Cases liabilities and in connection with subsequent private offerings of the Company’s equity; </w:t>
      </w:r>
    </w:p>
    <w:p>
      <w:pPr>
        <w:pStyle w:val="TextBody"/>
        <w:bidi w:val="0"/>
        <w:spacing w:before="240" w:after="0"/>
        <w:jc w:val="left"/>
        <w:rPr/>
      </w:pPr>
      <w:r>
        <w:rPr/>
        <w:t>“</w:t>
      </w:r>
      <w:r>
        <w:rPr>
          <w:rFonts w:ascii="Times New Roman" w:hAnsi="Times New Roman"/>
          <w:i/>
          <w:sz w:val="20"/>
        </w:rPr>
        <w:t>Latin America</w:t>
      </w:r>
      <w:r>
        <w:rPr>
          <w:rFonts w:ascii="Times New Roman" w:hAnsi="Times New Roman"/>
          <w:sz w:val="20"/>
        </w:rPr>
        <w:t xml:space="preserve">” means the geographical areas of Mexico, Central America, South America and the Caribbean; </w:t>
      </w:r>
    </w:p>
    <w:p>
      <w:pPr>
        <w:pStyle w:val="TextBody"/>
        <w:bidi w:val="0"/>
        <w:spacing w:before="240" w:after="0"/>
        <w:jc w:val="left"/>
        <w:rPr/>
      </w:pPr>
      <w:r>
        <w:rPr/>
        <w:t>“</w:t>
      </w:r>
      <w:r>
        <w:rPr>
          <w:rFonts w:ascii="Times New Roman" w:hAnsi="Times New Roman"/>
          <w:i/>
          <w:sz w:val="20"/>
        </w:rPr>
        <w:t>low-specification</w:t>
      </w:r>
      <w:r>
        <w:rPr>
          <w:rFonts w:ascii="Times New Roman" w:hAnsi="Times New Roman"/>
          <w:sz w:val="20"/>
        </w:rPr>
        <w:t>” or “</w:t>
      </w:r>
      <w:r>
        <w:rPr>
          <w:rFonts w:ascii="Times New Roman" w:hAnsi="Times New Roman"/>
          <w:i/>
          <w:sz w:val="20"/>
        </w:rPr>
        <w:t>low-spec</w:t>
      </w:r>
      <w:r>
        <w:rPr>
          <w:rFonts w:ascii="Times New Roman" w:hAnsi="Times New Roman"/>
          <w:sz w:val="20"/>
        </w:rPr>
        <w:t xml:space="preserve">” means, when referring to OSVs, vessels with cargo-carrying capacity of less than 2,500 DWT (i.e., primarily 200 class OSV notations), and/or vessels with dynamic-positioning systems with a DP-1 classification or lower; </w:t>
      </w:r>
    </w:p>
    <w:p>
      <w:pPr>
        <w:pStyle w:val="TextBody"/>
        <w:bidi w:val="0"/>
        <w:spacing w:before="240" w:after="0"/>
        <w:jc w:val="left"/>
        <w:rPr/>
      </w:pPr>
      <w:r>
        <w:rPr/>
        <w:t>“</w:t>
      </w:r>
      <w:r>
        <w:rPr>
          <w:rFonts w:ascii="Times New Roman" w:hAnsi="Times New Roman"/>
          <w:i/>
          <w:sz w:val="20"/>
        </w:rPr>
        <w:t>mid-specification</w:t>
      </w:r>
      <w:r>
        <w:rPr>
          <w:rFonts w:ascii="Times New Roman" w:hAnsi="Times New Roman"/>
          <w:sz w:val="20"/>
        </w:rPr>
        <w:t>” or “</w:t>
      </w:r>
      <w:r>
        <w:rPr>
          <w:rFonts w:ascii="Times New Roman" w:hAnsi="Times New Roman"/>
          <w:i/>
          <w:sz w:val="20"/>
        </w:rPr>
        <w:t>mid-spec</w:t>
      </w:r>
      <w:r>
        <w:rPr>
          <w:rFonts w:ascii="Times New Roman" w:hAnsi="Times New Roman"/>
          <w:sz w:val="20"/>
        </w:rPr>
        <w:t xml:space="preserve">” means, when referring to OSVs, vessels with cargo-carrying capacity of between 2,500 and 3,500 DWT (i.e., primarily 240 class OSV notations), and dynamic positioning (“DP”) systems with a DP-2 classification or higher; </w:t>
      </w:r>
    </w:p>
    <w:p>
      <w:pPr>
        <w:pStyle w:val="TextBody"/>
        <w:bidi w:val="0"/>
        <w:spacing w:before="240" w:after="0"/>
        <w:jc w:val="left"/>
        <w:rPr/>
      </w:pPr>
      <w:r>
        <w:rPr/>
        <w:t>“</w:t>
      </w:r>
      <w:r>
        <w:rPr>
          <w:rFonts w:ascii="Times New Roman" w:hAnsi="Times New Roman"/>
          <w:i/>
          <w:sz w:val="20"/>
        </w:rPr>
        <w:t>Nautical</w:t>
      </w:r>
      <w:r>
        <w:rPr>
          <w:rFonts w:ascii="Times New Roman" w:hAnsi="Times New Roman"/>
          <w:sz w:val="20"/>
        </w:rPr>
        <w:t xml:space="preserve">” means Nautical Solutions, L.L.C., an ECO affiliate; </w:t>
      </w:r>
    </w:p>
    <w:p>
      <w:pPr>
        <w:pStyle w:val="TextBody"/>
        <w:bidi w:val="0"/>
        <w:spacing w:before="240" w:after="0"/>
        <w:jc w:val="left"/>
        <w:rPr/>
      </w:pPr>
      <w:r>
        <w:rPr/>
        <w:t>“</w:t>
      </w:r>
      <w:r>
        <w:rPr>
          <w:rFonts w:ascii="Times New Roman" w:hAnsi="Times New Roman"/>
          <w:i/>
          <w:sz w:val="20"/>
        </w:rPr>
        <w:t>PEMEX</w:t>
      </w:r>
      <w:r>
        <w:rPr>
          <w:rFonts w:ascii="Times New Roman" w:hAnsi="Times New Roman"/>
          <w:sz w:val="20"/>
        </w:rPr>
        <w:t xml:space="preserve">” means Petroleos Mexicanos; </w:t>
      </w:r>
    </w:p>
    <w:p>
      <w:pPr>
        <w:pStyle w:val="TextBody"/>
        <w:bidi w:val="0"/>
        <w:spacing w:before="240" w:after="0"/>
        <w:jc w:val="left"/>
        <w:rPr/>
      </w:pPr>
      <w:r>
        <w:rPr/>
        <w:t>“</w:t>
      </w:r>
      <w:r>
        <w:rPr>
          <w:rFonts w:ascii="Times New Roman" w:hAnsi="Times New Roman"/>
          <w:i/>
          <w:sz w:val="20"/>
        </w:rPr>
        <w:t>Petrobras</w:t>
      </w:r>
      <w:r>
        <w:rPr>
          <w:rFonts w:ascii="Times New Roman" w:hAnsi="Times New Roman"/>
          <w:sz w:val="20"/>
        </w:rPr>
        <w:t xml:space="preserve">” means Petroleo Brasileiro S.A.; </w:t>
      </w:r>
    </w:p>
    <w:p>
      <w:pPr>
        <w:pStyle w:val="TextBody"/>
        <w:bidi w:val="0"/>
        <w:spacing w:before="240" w:after="0"/>
        <w:jc w:val="left"/>
        <w:rPr/>
      </w:pPr>
      <w:r>
        <w:rPr/>
        <w:t>“</w:t>
      </w:r>
      <w:r>
        <w:rPr>
          <w:rFonts w:ascii="Times New Roman" w:hAnsi="Times New Roman"/>
          <w:i/>
          <w:sz w:val="20"/>
        </w:rPr>
        <w:t>principal stockholders</w:t>
      </w:r>
      <w:r>
        <w:rPr>
          <w:rFonts w:ascii="Times New Roman" w:hAnsi="Times New Roman"/>
          <w:sz w:val="20"/>
        </w:rPr>
        <w:t xml:space="preserve">” means funds, investment vehicles or accounts managed or advised by Ares, Whitebox or Highbridge or their respective affiliates, in each case, that own shares of our common stock; </w:t>
      </w:r>
    </w:p>
    <w:p>
      <w:pPr>
        <w:pStyle w:val="TextBody"/>
        <w:bidi w:val="0"/>
        <w:spacing w:before="240" w:after="0"/>
        <w:jc w:val="left"/>
        <w:rPr/>
      </w:pPr>
      <w:r>
        <w:rPr/>
        <w:t>“</w:t>
      </w:r>
      <w:r>
        <w:rPr>
          <w:rFonts w:ascii="Times New Roman" w:hAnsi="Times New Roman"/>
          <w:i/>
          <w:sz w:val="20"/>
        </w:rPr>
        <w:t>Prior Second Lien Credit Agreement</w:t>
      </w:r>
      <w:r>
        <w:rPr>
          <w:rFonts w:ascii="Times New Roman" w:hAnsi="Times New Roman"/>
          <w:sz w:val="20"/>
        </w:rPr>
        <w:t xml:space="preserve">” means that certain second lien term loan credit agreement, dated September 4, 2020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 all obligations under which were fully paid and terminated on December 27, 2024; </w:t>
      </w:r>
    </w:p>
    <w:p>
      <w:pPr>
        <w:pStyle w:val="TextBody"/>
        <w:bidi w:val="0"/>
        <w:spacing w:before="240" w:after="0"/>
        <w:jc w:val="left"/>
        <w:rPr/>
      </w:pPr>
      <w:r>
        <w:rPr/>
        <w:t>“</w:t>
      </w:r>
      <w:r>
        <w:rPr>
          <w:rFonts w:ascii="Times New Roman" w:hAnsi="Times New Roman"/>
          <w:i/>
          <w:sz w:val="20"/>
        </w:rPr>
        <w:t>Quarterly Financial Statements</w:t>
      </w:r>
      <w:r>
        <w:rPr>
          <w:rFonts w:ascii="Times New Roman" w:hAnsi="Times New Roman"/>
          <w:sz w:val="20"/>
        </w:rPr>
        <w:t xml:space="preserve">” means the unaudited consolidated financial statements for the three and nine months ended September 30, 2025 and 2024; </w:t>
      </w:r>
    </w:p>
    <w:p>
      <w:pPr>
        <w:pStyle w:val="TextBody"/>
        <w:bidi w:val="0"/>
        <w:spacing w:before="240" w:after="0"/>
        <w:jc w:val="left"/>
        <w:rPr/>
      </w:pPr>
      <w:r>
        <w:rPr/>
        <w:t>“</w:t>
      </w:r>
      <w:r>
        <w:rPr>
          <w:rFonts w:ascii="Times New Roman" w:hAnsi="Times New Roman"/>
          <w:i/>
          <w:sz w:val="20"/>
        </w:rPr>
        <w:t>Replacement First Lien Term Loans</w:t>
      </w:r>
      <w:r>
        <w:rPr>
          <w:rFonts w:ascii="Times New Roman" w:hAnsi="Times New Roman"/>
          <w:sz w:val="20"/>
        </w:rPr>
        <w:t xml:space="preserve">” means the first lien replacement term loans under that certain first lien term loan credit agreement, dated September 4, 2020 (as amended and restated pursuant to that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No. 1 to First Lien Credit Agreement and Amendment No. 1 to the Effective Date Junior Lien Intercreditor Agreement, dated December 22, 2021, as further amended pursuant to that certain First Amendment to Restated First Lien Credit Agreement, dated June 6, 2022, as further amended pursuant to that certain Interest Rate Index Replacement Agreement and Second Amendment to First Lien Credit Agreement, dated July 27, 2023), by and among the Company, as parent borrower, Hornbeck Offshore Services, LLC, as co-borrower, Wilmington Trust, National Association, as administrative agent and collateral agent, and the lenders party thereto, all obligations under which were fully paid and terminated on August 31, 2023; </w:t>
      </w:r>
    </w:p>
    <w:p>
      <w:pPr>
        <w:pStyle w:val="TextBody"/>
        <w:bidi w:val="0"/>
        <w:spacing w:before="240" w:after="0"/>
        <w:jc w:val="left"/>
        <w:rPr/>
      </w:pPr>
      <w:r>
        <w:rPr/>
        <w:t>“</w:t>
      </w:r>
      <w:r>
        <w:rPr>
          <w:rFonts w:ascii="Times New Roman" w:hAnsi="Times New Roman"/>
          <w:i/>
          <w:sz w:val="20"/>
        </w:rPr>
        <w:t>Second Lien Credit Agreement</w:t>
      </w:r>
      <w:r>
        <w:rPr>
          <w:rFonts w:ascii="Times New Roman" w:hAnsi="Times New Roman"/>
          <w:sz w:val="20"/>
        </w:rPr>
        <w:t xml:space="preserve">” means that certain second lien term loan credit agreement, dated December 27, 2024 by and among the Company, as borrower, Stonebriar Commercial Finance, LLC, as administrative agent, Wilmington Trust, National Association, as collateral trustee, and the lenders party thereto; </w:t>
      </w:r>
    </w:p>
    <w:p>
      <w:pPr>
        <w:pStyle w:val="TextBody"/>
        <w:bidi w:val="0"/>
        <w:spacing w:before="240" w:after="0"/>
        <w:jc w:val="left"/>
        <w:rPr/>
      </w:pPr>
      <w:r>
        <w:rPr/>
        <w:t>“</w:t>
      </w:r>
      <w:r>
        <w:rPr>
          <w:rFonts w:ascii="Times New Roman" w:hAnsi="Times New Roman"/>
          <w:i/>
          <w:sz w:val="20"/>
        </w:rPr>
        <w:t>Second Lien Debt Refinancing</w:t>
      </w:r>
      <w:r>
        <w:rPr>
          <w:rFonts w:ascii="Times New Roman" w:hAnsi="Times New Roman"/>
          <w:sz w:val="20"/>
        </w:rPr>
        <w:t xml:space="preserve">” means our entry into the Second Lien Credit Agreement on December 27, 2024 and the draw thereunder of $450.0 million of Second Lien Term Loans due 2033, a portion of the net proceeds from which were utilized to repay in full the Second Lien Term Loans due 2026; </w:t>
      </w:r>
    </w:p>
    <w:p>
      <w:pPr>
        <w:pStyle w:val="TextBody"/>
        <w:bidi w:val="0"/>
        <w:spacing w:before="240" w:after="0"/>
        <w:jc w:val="left"/>
        <w:rPr/>
      </w:pPr>
      <w:r>
        <w:rPr/>
        <w:t>“</w:t>
      </w:r>
      <w:r>
        <w:rPr>
          <w:rFonts w:ascii="Times New Roman" w:hAnsi="Times New Roman"/>
          <w:i/>
          <w:sz w:val="20"/>
        </w:rPr>
        <w:t>Second Lien Term Loans due 2026</w:t>
      </w:r>
      <w:r>
        <w:rPr>
          <w:rFonts w:ascii="Times New Roman" w:hAnsi="Times New Roman"/>
          <w:sz w:val="20"/>
        </w:rPr>
        <w:t xml:space="preserve">” means the term loans issued under the Prior Second Lien Credit Agreement; </w:t>
      </w:r>
    </w:p>
    <w:p>
      <w:pPr>
        <w:pStyle w:val="TextBody"/>
        <w:bidi w:val="0"/>
        <w:spacing w:before="240" w:after="0"/>
        <w:jc w:val="left"/>
        <w:rPr/>
      </w:pPr>
      <w:r>
        <w:rPr/>
        <w:t>“</w:t>
      </w:r>
      <w:r>
        <w:rPr>
          <w:rFonts w:ascii="Times New Roman" w:hAnsi="Times New Roman"/>
          <w:i/>
          <w:sz w:val="20"/>
        </w:rPr>
        <w:t>Second Lien Term Loans due 2033</w:t>
      </w:r>
      <w:r>
        <w:rPr>
          <w:rFonts w:ascii="Times New Roman" w:hAnsi="Times New Roman"/>
          <w:sz w:val="20"/>
        </w:rPr>
        <w:t xml:space="preserve">” means our outstanding term loans under the Second Lien Credit Agreement;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i/>
          <w:sz w:val="20"/>
        </w:rPr>
        <w:t>Surety</w:t>
      </w:r>
      <w:r>
        <w:rPr>
          <w:rFonts w:ascii="Times New Roman" w:hAnsi="Times New Roman"/>
          <w:sz w:val="20"/>
        </w:rPr>
        <w:t xml:space="preserve">” means Zurich Insurance Company of America and Fidelity &amp; Deposit Company of Maryland; </w:t>
      </w:r>
    </w:p>
    <w:p>
      <w:pPr>
        <w:pStyle w:val="TextBody"/>
        <w:bidi w:val="0"/>
        <w:spacing w:before="240" w:after="0"/>
        <w:jc w:val="left"/>
        <w:rPr/>
      </w:pPr>
      <w:r>
        <w:rPr/>
        <w:t>“</w:t>
      </w:r>
      <w:r>
        <w:rPr>
          <w:rFonts w:ascii="Times New Roman" w:hAnsi="Times New Roman"/>
          <w:i/>
          <w:sz w:val="20"/>
        </w:rPr>
        <w:t>ultra high-specification</w:t>
      </w:r>
      <w:r>
        <w:rPr>
          <w:rFonts w:ascii="Times New Roman" w:hAnsi="Times New Roman"/>
          <w:sz w:val="20"/>
        </w:rPr>
        <w:t>” or “</w:t>
      </w:r>
      <w:r>
        <w:rPr>
          <w:rFonts w:ascii="Times New Roman" w:hAnsi="Times New Roman"/>
          <w:i/>
          <w:sz w:val="20"/>
        </w:rPr>
        <w:t>ultra high-spec</w:t>
      </w:r>
      <w:r>
        <w:rPr>
          <w:rFonts w:ascii="Times New Roman" w:hAnsi="Times New Roman"/>
          <w:sz w:val="20"/>
        </w:rPr>
        <w:t xml:space="preserve">” means, when referring to OSVs, vessels with cargo-carrying capacity of greater than 5,000 DWT (i.e., 300 class OSV notations or higher), and dynamic-positioning systems with a DP-2 classification or higher; for the avoidance of doubt, any MPSV of greater than 5,000 DWT is an ultra high-spec vessel; and </w:t>
      </w:r>
    </w:p>
    <w:p>
      <w:pPr>
        <w:pStyle w:val="TextBody"/>
        <w:bidi w:val="0"/>
        <w:spacing w:before="240" w:after="0"/>
        <w:jc w:val="left"/>
        <w:rPr/>
      </w:pPr>
      <w:r>
        <w:rPr/>
        <w:t>“</w:t>
      </w:r>
      <w:r>
        <w:rPr>
          <w:rFonts w:ascii="Times New Roman" w:hAnsi="Times New Roman"/>
          <w:i/>
          <w:sz w:val="20"/>
        </w:rPr>
        <w:t>Whitebox</w:t>
      </w:r>
      <w:r>
        <w:rPr>
          <w:rFonts w:ascii="Times New Roman" w:hAnsi="Times New Roman"/>
          <w:sz w:val="20"/>
        </w:rPr>
        <w:t xml:space="preserve">” means Whitebox Advisors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GLOSSARY OF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abbreviations and definitions of certain terms used in this document, which are commonly used in the offshore support vessel industry: </w:t>
      </w:r>
    </w:p>
    <w:p>
      <w:pPr>
        <w:pStyle w:val="TextBody"/>
        <w:bidi w:val="0"/>
        <w:spacing w:before="240" w:after="0"/>
        <w:jc w:val="left"/>
        <w:rPr/>
      </w:pPr>
      <w:r>
        <w:rPr/>
        <w:t>“</w:t>
      </w:r>
      <w:r>
        <w:rPr>
          <w:rFonts w:ascii="Times New Roman" w:hAnsi="Times New Roman"/>
          <w:i/>
          <w:sz w:val="20"/>
        </w:rPr>
        <w:t>active utilization</w:t>
      </w:r>
      <w:r>
        <w:rPr>
          <w:rFonts w:ascii="Times New Roman" w:hAnsi="Times New Roman"/>
          <w:sz w:val="20"/>
        </w:rPr>
        <w:t xml:space="preserve">” means, when referring to OSVs or MPSVs, the weighted-average rate that active vessels are utilized, or generating revenues, based on a denominator comprised only of vessel-days available for service by the active fleet, which excludes the impact of inactive or stacked vessel days; </w:t>
      </w:r>
    </w:p>
    <w:p>
      <w:pPr>
        <w:pStyle w:val="TextBody"/>
        <w:bidi w:val="0"/>
        <w:spacing w:before="240" w:after="0"/>
        <w:jc w:val="left"/>
        <w:rPr/>
      </w:pPr>
      <w:r>
        <w:rPr/>
        <w:t>“</w:t>
      </w:r>
      <w:r>
        <w:rPr>
          <w:rFonts w:ascii="Times New Roman" w:hAnsi="Times New Roman"/>
          <w:i/>
          <w:sz w:val="20"/>
        </w:rPr>
        <w:t>average dayrate</w:t>
      </w:r>
      <w:r>
        <w:rPr>
          <w:rFonts w:ascii="Times New Roman" w:hAnsi="Times New Roman"/>
          <w:sz w:val="20"/>
        </w:rPr>
        <w:t xml:space="preserve">” means, when referring to OSVs or MPSVs, average revenue per day, which includes charter hire, crewing services and net brokerage revenues, based on the number of days during the period that the OSVs or MPSVs, as applicable, generated revenue. For purposes of vessel brokerage arrangements, this calculation excludes that portion of revenue that is equal to the cost of in-chartering third-party equipment paid by customers; </w:t>
      </w:r>
    </w:p>
    <w:p>
      <w:pPr>
        <w:pStyle w:val="TextBody"/>
        <w:bidi w:val="0"/>
        <w:spacing w:before="240" w:after="0"/>
        <w:jc w:val="left"/>
        <w:rPr/>
      </w:pPr>
      <w:r>
        <w:rPr/>
        <w:t>“</w:t>
      </w:r>
      <w:r>
        <w:rPr>
          <w:rFonts w:ascii="Times New Roman" w:hAnsi="Times New Roman"/>
          <w:i/>
          <w:sz w:val="20"/>
        </w:rPr>
        <w:t>average utilization</w:t>
      </w:r>
      <w:r>
        <w:rPr>
          <w:rFonts w:ascii="Times New Roman" w:hAnsi="Times New Roman"/>
          <w:sz w:val="20"/>
        </w:rPr>
        <w:t xml:space="preserve">” means, when referring to OSVs or MPSVs, the weighted-average rate that vessels are utilized, or generating revenues, based on a 365-day year; </w:t>
      </w:r>
    </w:p>
    <w:p>
      <w:pPr>
        <w:pStyle w:val="TextBody"/>
        <w:bidi w:val="0"/>
        <w:spacing w:before="240" w:after="0"/>
        <w:jc w:val="left"/>
        <w:rPr/>
      </w:pPr>
      <w:r>
        <w:rPr/>
        <w:t>“</w:t>
      </w:r>
      <w:r>
        <w:rPr>
          <w:rFonts w:ascii="Times New Roman" w:hAnsi="Times New Roman"/>
          <w:i/>
          <w:sz w:val="20"/>
        </w:rPr>
        <w:t>BOEM</w:t>
      </w:r>
      <w:r>
        <w:rPr>
          <w:rFonts w:ascii="Times New Roman" w:hAnsi="Times New Roman"/>
          <w:sz w:val="20"/>
        </w:rPr>
        <w:t xml:space="preserve">” means the Bureau of Ocean Energy Management; </w:t>
      </w:r>
    </w:p>
    <w:p>
      <w:pPr>
        <w:pStyle w:val="TextBody"/>
        <w:bidi w:val="0"/>
        <w:spacing w:before="240" w:after="0"/>
        <w:jc w:val="left"/>
        <w:rPr/>
      </w:pPr>
      <w:r>
        <w:rPr/>
        <w:t>“</w:t>
      </w:r>
      <w:r>
        <w:rPr>
          <w:rFonts w:ascii="Times New Roman" w:hAnsi="Times New Roman"/>
          <w:i/>
          <w:sz w:val="20"/>
        </w:rPr>
        <w:t>cabotage laws</w:t>
      </w:r>
      <w:r>
        <w:rPr>
          <w:rFonts w:ascii="Times New Roman" w:hAnsi="Times New Roman"/>
          <w:sz w:val="20"/>
        </w:rPr>
        <w:t xml:space="preserve">” means laws pertaining to the privilege of owning and operating vessels in the navigable, territorial waters of a nation; </w:t>
      </w:r>
    </w:p>
    <w:p>
      <w:pPr>
        <w:pStyle w:val="TextBody"/>
        <w:bidi w:val="0"/>
        <w:spacing w:before="240" w:after="0"/>
        <w:jc w:val="left"/>
        <w:rPr/>
      </w:pPr>
      <w:r>
        <w:rPr/>
        <w:t>“</w:t>
      </w:r>
      <w:r>
        <w:rPr>
          <w:rFonts w:ascii="Times New Roman" w:hAnsi="Times New Roman"/>
          <w:i/>
          <w:sz w:val="20"/>
        </w:rPr>
        <w:t>coastwise trade</w:t>
      </w:r>
      <w:r>
        <w:rPr>
          <w:rFonts w:ascii="Times New Roman" w:hAnsi="Times New Roman"/>
          <w:sz w:val="20"/>
        </w:rPr>
        <w:t xml:space="preserve">” means the transportation of merchandise or passengers by water, or by land and water, between points in the United States, either directly or via a foreign port within the meaning of 46 U.S.C. Chapter 551 and any successor statutes thereto, as amended or supplemented from time to time; </w:t>
      </w:r>
    </w:p>
    <w:p>
      <w:pPr>
        <w:pStyle w:val="TextBody"/>
        <w:bidi w:val="0"/>
        <w:spacing w:before="240" w:after="0"/>
        <w:jc w:val="left"/>
        <w:rPr/>
      </w:pPr>
      <w:r>
        <w:rPr/>
        <w:t>“</w:t>
      </w:r>
      <w:r>
        <w:rPr>
          <w:rFonts w:ascii="Times New Roman" w:hAnsi="Times New Roman"/>
          <w:i/>
          <w:sz w:val="20"/>
        </w:rPr>
        <w:t>CO2e/kboe</w:t>
      </w:r>
      <w:r>
        <w:rPr>
          <w:rFonts w:ascii="Times New Roman" w:hAnsi="Times New Roman"/>
          <w:sz w:val="20"/>
        </w:rPr>
        <w:t xml:space="preserve">” means carbon dioxide equivalent per thousand barrels of oil equivalent; </w:t>
      </w:r>
    </w:p>
    <w:p>
      <w:pPr>
        <w:pStyle w:val="TextBody"/>
        <w:bidi w:val="0"/>
        <w:spacing w:before="240" w:after="0"/>
        <w:jc w:val="left"/>
        <w:rPr/>
      </w:pPr>
      <w:r>
        <w:rPr/>
        <w:t>“</w:t>
      </w:r>
      <w:r>
        <w:rPr>
          <w:rFonts w:ascii="Times New Roman" w:hAnsi="Times New Roman"/>
          <w:i/>
          <w:sz w:val="20"/>
        </w:rPr>
        <w:t>C/SOV</w:t>
      </w:r>
      <w:r>
        <w:rPr>
          <w:rFonts w:ascii="Times New Roman" w:hAnsi="Times New Roman"/>
          <w:sz w:val="20"/>
        </w:rPr>
        <w:t xml:space="preserve">” means a multi-purpose service vessel that can be utilized in the offshore wind market as either a CSOV or an SOV. A CSOV is a Commissioning Service Operation Vessel, typically serving during the commissioning and installation phases of an offshore wind farm, under contracts that are usually less than one year in duration. A SOV is a Service Operation Vessel, typically performing operations and maintenance services during the life of an offshore wind farm, under contracts that can be for multi-year terms; </w:t>
      </w:r>
    </w:p>
    <w:p>
      <w:pPr>
        <w:pStyle w:val="TextBody"/>
        <w:bidi w:val="0"/>
        <w:spacing w:before="240" w:after="0"/>
        <w:jc w:val="left"/>
        <w:rPr/>
      </w:pPr>
      <w:r>
        <w:rPr/>
        <w:t>“</w:t>
      </w:r>
      <w:r>
        <w:rPr>
          <w:rFonts w:ascii="Times New Roman" w:hAnsi="Times New Roman"/>
          <w:i/>
          <w:sz w:val="20"/>
        </w:rPr>
        <w:t>deep-well</w:t>
      </w:r>
      <w:r>
        <w:rPr>
          <w:rFonts w:ascii="Times New Roman" w:hAnsi="Times New Roman"/>
          <w:sz w:val="20"/>
        </w:rPr>
        <w:t xml:space="preserve">” means a well drilled to a true vertical depth of 15,000’ or greater, regardless of whether the well was drilled in the shallow water of the Outer Continental Shelf or in the deepwater or ultra-deepwater; </w:t>
      </w:r>
    </w:p>
    <w:p>
      <w:pPr>
        <w:pStyle w:val="TextBody"/>
        <w:bidi w:val="0"/>
        <w:spacing w:before="240" w:after="0"/>
        <w:jc w:val="left"/>
        <w:rPr/>
      </w:pPr>
      <w:r>
        <w:rPr/>
        <w:t>“</w:t>
      </w:r>
      <w:r>
        <w:rPr>
          <w:rFonts w:ascii="Times New Roman" w:hAnsi="Times New Roman"/>
          <w:i/>
          <w:sz w:val="20"/>
        </w:rPr>
        <w:t>deepwater</w:t>
      </w:r>
      <w:r>
        <w:rPr>
          <w:rFonts w:ascii="Times New Roman" w:hAnsi="Times New Roman"/>
          <w:sz w:val="20"/>
        </w:rPr>
        <w:t xml:space="preserve">” means offshore areas, generally 1,000’ to 5,000’ in depth; </w:t>
      </w:r>
    </w:p>
    <w:p>
      <w:pPr>
        <w:pStyle w:val="TextBody"/>
        <w:bidi w:val="0"/>
        <w:spacing w:before="240" w:after="0"/>
        <w:jc w:val="left"/>
        <w:rPr/>
      </w:pPr>
      <w:r>
        <w:rPr/>
        <w:t>“</w:t>
      </w:r>
      <w:r>
        <w:rPr>
          <w:rFonts w:ascii="Times New Roman" w:hAnsi="Times New Roman"/>
          <w:i/>
          <w:sz w:val="20"/>
        </w:rPr>
        <w:t>D-FARs</w:t>
      </w:r>
      <w:r>
        <w:rPr>
          <w:rFonts w:ascii="Times New Roman" w:hAnsi="Times New Roman"/>
          <w:sz w:val="20"/>
        </w:rPr>
        <w:t xml:space="preserve">” means Defense Federal Acquisition Regulations; </w:t>
      </w:r>
    </w:p>
    <w:p>
      <w:pPr>
        <w:pStyle w:val="TextBody"/>
        <w:bidi w:val="0"/>
        <w:spacing w:before="240" w:after="0"/>
        <w:jc w:val="left"/>
        <w:rPr/>
      </w:pPr>
      <w:r>
        <w:rPr/>
        <w:t>“</w:t>
      </w:r>
      <w:r>
        <w:rPr>
          <w:rFonts w:ascii="Times New Roman" w:hAnsi="Times New Roman"/>
          <w:i/>
          <w:sz w:val="20"/>
        </w:rPr>
        <w:t>DP-1</w:t>
      </w:r>
      <w:r>
        <w:rPr>
          <w:rFonts w:ascii="Times New Roman" w:hAnsi="Times New Roman"/>
          <w:sz w:val="20"/>
        </w:rPr>
        <w:t>,” “</w:t>
      </w:r>
      <w:r>
        <w:rPr>
          <w:rFonts w:ascii="Times New Roman" w:hAnsi="Times New Roman"/>
          <w:i/>
          <w:sz w:val="20"/>
        </w:rPr>
        <w:t>DP-2</w:t>
      </w:r>
      <w:r>
        <w:rPr>
          <w:rFonts w:ascii="Times New Roman" w:hAnsi="Times New Roman"/>
          <w:sz w:val="20"/>
        </w:rPr>
        <w:t>” and “</w:t>
      </w:r>
      <w:r>
        <w:rPr>
          <w:rFonts w:ascii="Times New Roman" w:hAnsi="Times New Roman"/>
          <w:i/>
          <w:sz w:val="20"/>
        </w:rPr>
        <w:t>DP-3</w:t>
      </w:r>
      <w:r>
        <w:rPr>
          <w:rFonts w:ascii="Times New Roman" w:hAnsi="Times New Roman"/>
          <w:sz w:val="20"/>
        </w:rPr>
        <w:t xml:space="preserve">” mean various classifications of DP systems on vessels to automatically maintain a vessel’s position and heading through anchor-less station-keeping; </w:t>
      </w:r>
    </w:p>
    <w:p>
      <w:pPr>
        <w:pStyle w:val="TextBody"/>
        <w:bidi w:val="0"/>
        <w:spacing w:before="240" w:after="0"/>
        <w:jc w:val="left"/>
        <w:rPr/>
      </w:pPr>
      <w:r>
        <w:rPr/>
        <w:t>“</w:t>
      </w:r>
      <w:r>
        <w:rPr>
          <w:rFonts w:ascii="Times New Roman" w:hAnsi="Times New Roman"/>
          <w:i/>
          <w:sz w:val="20"/>
        </w:rPr>
        <w:t>DWT</w:t>
      </w:r>
      <w:r>
        <w:rPr>
          <w:rFonts w:ascii="Times New Roman" w:hAnsi="Times New Roman"/>
          <w:sz w:val="20"/>
        </w:rPr>
        <w:t xml:space="preserve">” means deadweight tons; </w:t>
      </w:r>
    </w:p>
    <w:p>
      <w:pPr>
        <w:pStyle w:val="TextBody"/>
        <w:bidi w:val="0"/>
        <w:spacing w:before="240" w:after="0"/>
        <w:jc w:val="left"/>
        <w:rPr/>
      </w:pPr>
      <w:r>
        <w:rPr/>
        <w:t>“</w:t>
      </w:r>
      <w:r>
        <w:rPr>
          <w:rFonts w:ascii="Times New Roman" w:hAnsi="Times New Roman"/>
          <w:i/>
          <w:sz w:val="20"/>
        </w:rPr>
        <w:t>effective dayrate</w:t>
      </w:r>
      <w:r>
        <w:rPr>
          <w:rFonts w:ascii="Times New Roman" w:hAnsi="Times New Roman"/>
          <w:sz w:val="20"/>
        </w:rPr>
        <w:t xml:space="preserve">” means the average dayrate multiplied by the average utilization rate; </w:t>
      </w:r>
    </w:p>
    <w:p>
      <w:pPr>
        <w:pStyle w:val="TextBody"/>
        <w:bidi w:val="0"/>
        <w:spacing w:before="240" w:after="0"/>
        <w:jc w:val="left"/>
        <w:rPr/>
      </w:pPr>
      <w:r>
        <w:rPr/>
        <w:t>“</w:t>
      </w:r>
      <w:r>
        <w:rPr>
          <w:rFonts w:ascii="Times New Roman" w:hAnsi="Times New Roman"/>
          <w:i/>
          <w:sz w:val="20"/>
        </w:rPr>
        <w:t>FARs</w:t>
      </w:r>
      <w:r>
        <w:rPr>
          <w:rFonts w:ascii="Times New Roman" w:hAnsi="Times New Roman"/>
          <w:sz w:val="20"/>
        </w:rPr>
        <w:t xml:space="preserve">” means Federal Acquisition Regulations; </w:t>
      </w:r>
    </w:p>
    <w:p>
      <w:pPr>
        <w:pStyle w:val="TextBody"/>
        <w:bidi w:val="0"/>
        <w:spacing w:before="240" w:after="0"/>
        <w:jc w:val="left"/>
        <w:rPr/>
      </w:pPr>
      <w:r>
        <w:rPr/>
        <w:t>“</w:t>
      </w:r>
      <w:r>
        <w:rPr>
          <w:rFonts w:ascii="Times New Roman" w:hAnsi="Times New Roman"/>
          <w:i/>
          <w:sz w:val="20"/>
        </w:rPr>
        <w:t>flotel</w:t>
      </w:r>
      <w:r>
        <w:rPr>
          <w:rFonts w:ascii="Times New Roman" w:hAnsi="Times New Roman"/>
          <w:sz w:val="20"/>
        </w:rPr>
        <w:t xml:space="preserve">” means on-vessel accommodations services, such as lodging, meals and office space; </w:t>
      </w:r>
    </w:p>
    <w:p>
      <w:pPr>
        <w:pStyle w:val="TextBody"/>
        <w:bidi w:val="0"/>
        <w:spacing w:before="240" w:after="0"/>
        <w:jc w:val="left"/>
        <w:rPr/>
      </w:pPr>
      <w:r>
        <w:rPr/>
        <w:t>“</w:t>
      </w:r>
      <w:r>
        <w:rPr>
          <w:rFonts w:ascii="Times New Roman" w:hAnsi="Times New Roman"/>
          <w:i/>
          <w:sz w:val="20"/>
        </w:rPr>
        <w:t>GoA</w:t>
      </w:r>
      <w:r>
        <w:rPr>
          <w:rFonts w:ascii="Times New Roman" w:hAnsi="Times New Roman"/>
          <w:sz w:val="20"/>
        </w:rPr>
        <w:t xml:space="preserve">” means the U.S. GoA and the Mexico GoA;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HFR</w:t>
      </w:r>
      <w:r>
        <w:rPr>
          <w:rFonts w:ascii="Times New Roman" w:hAnsi="Times New Roman"/>
          <w:sz w:val="20"/>
        </w:rPr>
        <w:t xml:space="preserve">” means HFR, LLC; </w:t>
      </w:r>
    </w:p>
    <w:p>
      <w:pPr>
        <w:pStyle w:val="TextBody"/>
        <w:bidi w:val="0"/>
        <w:spacing w:before="240" w:after="0"/>
        <w:jc w:val="left"/>
        <w:rPr/>
      </w:pPr>
      <w:r>
        <w:rPr/>
        <w:t>“</w:t>
      </w:r>
      <w:r>
        <w:rPr>
          <w:rFonts w:ascii="Times New Roman" w:hAnsi="Times New Roman"/>
          <w:i/>
          <w:sz w:val="20"/>
        </w:rPr>
        <w:t>IRM</w:t>
      </w:r>
      <w:r>
        <w:rPr>
          <w:rFonts w:ascii="Times New Roman" w:hAnsi="Times New Roman"/>
          <w:sz w:val="20"/>
        </w:rPr>
        <w:t xml:space="preserve">” means inspection, repair and maintenance, also known as “IMR,” or inspection, maintenance and repair, depending on regional preference; </w:t>
      </w:r>
    </w:p>
    <w:p>
      <w:pPr>
        <w:pStyle w:val="TextBody"/>
        <w:bidi w:val="0"/>
        <w:spacing w:before="240" w:after="0"/>
        <w:jc w:val="left"/>
        <w:rPr/>
      </w:pPr>
      <w:r>
        <w:rPr/>
        <w:t>“</w:t>
      </w:r>
      <w:r>
        <w:rPr>
          <w:rFonts w:ascii="Times New Roman" w:hAnsi="Times New Roman"/>
          <w:i/>
          <w:sz w:val="20"/>
        </w:rPr>
        <w:t>Jones Act</w:t>
      </w:r>
      <w:r>
        <w:rPr>
          <w:rFonts w:ascii="Times New Roman" w:hAnsi="Times New Roman"/>
          <w:sz w:val="20"/>
        </w:rPr>
        <w:t xml:space="preserve">” means the U.S. citizenship and cabotage laws principally contained in 46 U.S.C. § 50501(a), (b) and (d) and 46 U.S.C. Chapters 121 and 551 and any successor statutes thereto, together with the rules and regulations promulgated thereunder by the USCG and the U.S. Department of Transportation’s Maritime Administration and their practices enforcing, administering and interpreting such laws, statutes, rules and regulations, in each case as amended or supplemented from time to time, relating to the ownership and operation of U.S.-flag vessels in the coastwise trade; </w:t>
      </w:r>
    </w:p>
    <w:p>
      <w:pPr>
        <w:pStyle w:val="TextBody"/>
        <w:bidi w:val="0"/>
        <w:spacing w:before="240" w:after="0"/>
        <w:jc w:val="left"/>
        <w:rPr/>
      </w:pPr>
      <w:r>
        <w:rPr/>
        <w:t>“</w:t>
      </w:r>
      <w:r>
        <w:rPr>
          <w:rFonts w:ascii="Times New Roman" w:hAnsi="Times New Roman"/>
          <w:i/>
          <w:sz w:val="20"/>
        </w:rPr>
        <w:t>Jones Act-qualified</w:t>
      </w:r>
      <w:r>
        <w:rPr>
          <w:rFonts w:ascii="Times New Roman" w:hAnsi="Times New Roman"/>
          <w:sz w:val="20"/>
        </w:rPr>
        <w:t xml:space="preserve">” means, when referring to a vessel, a U.S.-flagged vessel qualified to engage in domestic coastwise trade under the Jones Act; </w:t>
      </w:r>
    </w:p>
    <w:p>
      <w:pPr>
        <w:pStyle w:val="TextBody"/>
        <w:bidi w:val="0"/>
        <w:spacing w:before="240" w:after="0"/>
        <w:jc w:val="left"/>
        <w:rPr/>
      </w:pPr>
      <w:r>
        <w:rPr/>
        <w:t>“</w:t>
      </w:r>
      <w:r>
        <w:rPr>
          <w:rFonts w:ascii="Times New Roman" w:hAnsi="Times New Roman"/>
          <w:i/>
          <w:sz w:val="20"/>
        </w:rPr>
        <w:t>long-term contract</w:t>
      </w:r>
      <w:r>
        <w:rPr>
          <w:rFonts w:ascii="Times New Roman" w:hAnsi="Times New Roman"/>
          <w:sz w:val="20"/>
        </w:rPr>
        <w:t xml:space="preserve">” means a time charter of one year or longer in duration; </w:t>
      </w:r>
    </w:p>
    <w:p>
      <w:pPr>
        <w:pStyle w:val="TextBody"/>
        <w:bidi w:val="0"/>
        <w:spacing w:before="240" w:after="0"/>
        <w:jc w:val="left"/>
        <w:rPr/>
      </w:pPr>
      <w:r>
        <w:rPr/>
        <w:t>“</w:t>
      </w:r>
      <w:r>
        <w:rPr>
          <w:rFonts w:ascii="Times New Roman" w:hAnsi="Times New Roman"/>
          <w:i/>
          <w:sz w:val="20"/>
        </w:rPr>
        <w:t>Mexico GoA</w:t>
      </w:r>
      <w:r>
        <w:rPr>
          <w:rFonts w:ascii="Times New Roman" w:hAnsi="Times New Roman"/>
          <w:sz w:val="20"/>
        </w:rPr>
        <w:t xml:space="preserve">” means the territorial waters of Mexico in the Gulf of America; </w:t>
      </w:r>
    </w:p>
    <w:p>
      <w:pPr>
        <w:pStyle w:val="TextBody"/>
        <w:bidi w:val="0"/>
        <w:spacing w:before="240" w:after="0"/>
        <w:jc w:val="left"/>
        <w:rPr/>
      </w:pPr>
      <w:r>
        <w:rPr/>
        <w:t>“</w:t>
      </w:r>
      <w:r>
        <w:rPr>
          <w:rFonts w:ascii="Times New Roman" w:hAnsi="Times New Roman"/>
          <w:i/>
          <w:sz w:val="20"/>
        </w:rPr>
        <w:t>MPSV</w:t>
      </w:r>
      <w:r>
        <w:rPr>
          <w:rFonts w:ascii="Times New Roman" w:hAnsi="Times New Roman"/>
          <w:sz w:val="20"/>
        </w:rPr>
        <w:t xml:space="preserve">” means a multi-purpose support vessel, and we consider all of our MPSVs to be high-spec or ultra high-spec; </w:t>
      </w:r>
    </w:p>
    <w:p>
      <w:pPr>
        <w:pStyle w:val="TextBody"/>
        <w:bidi w:val="0"/>
        <w:spacing w:before="240" w:after="0"/>
        <w:jc w:val="left"/>
        <w:rPr/>
      </w:pPr>
      <w:r>
        <w:rPr/>
        <w:t>“</w:t>
      </w:r>
      <w:r>
        <w:rPr>
          <w:rFonts w:ascii="Times New Roman" w:hAnsi="Times New Roman"/>
          <w:i/>
          <w:sz w:val="20"/>
        </w:rPr>
        <w:t>MSC</w:t>
      </w:r>
      <w:r>
        <w:rPr>
          <w:rFonts w:ascii="Times New Roman" w:hAnsi="Times New Roman"/>
          <w:sz w:val="20"/>
        </w:rPr>
        <w:t xml:space="preserve">” means the Military Sealift Command; </w:t>
      </w:r>
    </w:p>
    <w:p>
      <w:pPr>
        <w:pStyle w:val="TextBody"/>
        <w:bidi w:val="0"/>
        <w:spacing w:before="240" w:after="0"/>
        <w:jc w:val="left"/>
        <w:rPr/>
      </w:pPr>
      <w:r>
        <w:rPr/>
        <w:t>“</w:t>
      </w:r>
      <w:r>
        <w:rPr>
          <w:rFonts w:ascii="Times New Roman" w:hAnsi="Times New Roman"/>
          <w:i/>
          <w:sz w:val="20"/>
        </w:rPr>
        <w:t>Naviera</w:t>
      </w:r>
      <w:r>
        <w:rPr>
          <w:rFonts w:ascii="Times New Roman" w:hAnsi="Times New Roman"/>
          <w:sz w:val="20"/>
        </w:rPr>
        <w:t xml:space="preserve">” means a Mexican company authorized by Mexican law to engage in shipping activities, including Mexican cabotage and international shipping under Mexican flag; </w:t>
      </w:r>
    </w:p>
    <w:p>
      <w:pPr>
        <w:pStyle w:val="TextBody"/>
        <w:bidi w:val="0"/>
        <w:spacing w:before="240" w:after="0"/>
        <w:jc w:val="left"/>
        <w:rPr/>
      </w:pPr>
      <w:r>
        <w:rPr/>
        <w:t>“</w:t>
      </w:r>
      <w:r>
        <w:rPr>
          <w:rFonts w:ascii="Times New Roman" w:hAnsi="Times New Roman"/>
          <w:i/>
          <w:sz w:val="20"/>
        </w:rPr>
        <w:t>O&amp;M</w:t>
      </w:r>
      <w:r>
        <w:rPr>
          <w:rFonts w:ascii="Times New Roman" w:hAnsi="Times New Roman"/>
          <w:sz w:val="20"/>
        </w:rPr>
        <w:t xml:space="preserve">” means Operations &amp; Maintenance; </w:t>
      </w:r>
    </w:p>
    <w:p>
      <w:pPr>
        <w:pStyle w:val="TextBody"/>
        <w:bidi w:val="0"/>
        <w:spacing w:before="240" w:after="0"/>
        <w:jc w:val="left"/>
        <w:rPr/>
      </w:pPr>
      <w:r>
        <w:rPr/>
        <w:t>“</w:t>
      </w:r>
      <w:r>
        <w:rPr>
          <w:rFonts w:ascii="Times New Roman" w:hAnsi="Times New Roman"/>
          <w:i/>
          <w:sz w:val="20"/>
        </w:rPr>
        <w:t>OSV</w:t>
      </w:r>
      <w:r>
        <w:rPr>
          <w:rFonts w:ascii="Times New Roman" w:hAnsi="Times New Roman"/>
          <w:sz w:val="20"/>
        </w:rPr>
        <w:t xml:space="preserve">” means an offshore supply vessel, also known as a “PSV,” or platform supply vessel, depending on regional preference; </w:t>
      </w:r>
    </w:p>
    <w:p>
      <w:pPr>
        <w:pStyle w:val="TextBody"/>
        <w:bidi w:val="0"/>
        <w:spacing w:before="240" w:after="0"/>
        <w:jc w:val="left"/>
        <w:rPr/>
      </w:pPr>
      <w:r>
        <w:rPr/>
        <w:t>“</w:t>
      </w:r>
      <w:r>
        <w:rPr>
          <w:rFonts w:ascii="Times New Roman" w:hAnsi="Times New Roman"/>
          <w:i/>
          <w:sz w:val="20"/>
        </w:rPr>
        <w:t>ROV</w:t>
      </w:r>
      <w:r>
        <w:rPr>
          <w:rFonts w:ascii="Times New Roman" w:hAnsi="Times New Roman"/>
          <w:sz w:val="20"/>
        </w:rPr>
        <w:t xml:space="preserve">” means a remotely operated vehicle, which is a tethered submersible vehicle remotely operated from the surface; </w:t>
      </w:r>
    </w:p>
    <w:p>
      <w:pPr>
        <w:pStyle w:val="TextBody"/>
        <w:bidi w:val="0"/>
        <w:spacing w:before="240" w:after="0"/>
        <w:jc w:val="left"/>
        <w:rPr/>
      </w:pPr>
      <w:r>
        <w:rPr/>
        <w:t>“</w:t>
      </w:r>
      <w:r>
        <w:rPr>
          <w:rFonts w:ascii="Times New Roman" w:hAnsi="Times New Roman"/>
          <w:i/>
          <w:sz w:val="20"/>
        </w:rPr>
        <w:t>SEMAR</w:t>
      </w:r>
      <w:r>
        <w:rPr>
          <w:rFonts w:ascii="Times New Roman" w:hAnsi="Times New Roman"/>
          <w:sz w:val="20"/>
        </w:rPr>
        <w:t xml:space="preserve">” means Secretaría de Marina, the government agency responsible for, among other things, administering Mexico’s territorial sea and exclusive economic zone; </w:t>
      </w:r>
    </w:p>
    <w:p>
      <w:pPr>
        <w:pStyle w:val="TextBody"/>
        <w:bidi w:val="0"/>
        <w:spacing w:before="240" w:after="0"/>
        <w:jc w:val="left"/>
        <w:rPr/>
      </w:pPr>
      <w:r>
        <w:rPr/>
        <w:t>“</w:t>
      </w:r>
      <w:r>
        <w:rPr>
          <w:rFonts w:ascii="Times New Roman" w:hAnsi="Times New Roman"/>
          <w:i/>
          <w:sz w:val="20"/>
        </w:rPr>
        <w:t>TRIR</w:t>
      </w:r>
      <w:r>
        <w:rPr>
          <w:rFonts w:ascii="Times New Roman" w:hAnsi="Times New Roman"/>
          <w:sz w:val="20"/>
        </w:rPr>
        <w:t xml:space="preserve">,” means the total recordable incident rate, which is measured as the number of recordable incidents, multiplied by 200,000, then divided by the total number of exposure hours worked in a year; </w:t>
      </w:r>
    </w:p>
    <w:p>
      <w:pPr>
        <w:pStyle w:val="TextBody"/>
        <w:bidi w:val="0"/>
        <w:spacing w:before="240" w:after="0"/>
        <w:jc w:val="left"/>
        <w:rPr/>
      </w:pPr>
      <w:r>
        <w:rPr/>
        <w:t>“</w:t>
      </w:r>
      <w:r>
        <w:rPr>
          <w:rFonts w:ascii="Times New Roman" w:hAnsi="Times New Roman"/>
          <w:i/>
          <w:sz w:val="20"/>
        </w:rPr>
        <w:t>ultra-deepwater</w:t>
      </w:r>
      <w:r>
        <w:rPr>
          <w:rFonts w:ascii="Times New Roman" w:hAnsi="Times New Roman"/>
          <w:sz w:val="20"/>
        </w:rPr>
        <w:t xml:space="preserve">” means offshore areas, generally more than 5,000’ in depth; </w:t>
      </w:r>
    </w:p>
    <w:p>
      <w:pPr>
        <w:pStyle w:val="TextBody"/>
        <w:bidi w:val="0"/>
        <w:spacing w:before="240" w:after="0"/>
        <w:jc w:val="left"/>
        <w:rPr/>
      </w:pPr>
      <w:r>
        <w:rPr/>
        <w:t>“</w:t>
      </w:r>
      <w:r>
        <w:rPr>
          <w:rFonts w:ascii="Times New Roman" w:hAnsi="Times New Roman"/>
          <w:i/>
          <w:sz w:val="20"/>
        </w:rPr>
        <w:t>U.S. GoA</w:t>
      </w:r>
      <w:r>
        <w:rPr>
          <w:rFonts w:ascii="Times New Roman" w:hAnsi="Times New Roman"/>
          <w:sz w:val="20"/>
        </w:rPr>
        <w:t xml:space="preserve">” means the territorial waters of the United States in the Gulf of America; and </w:t>
      </w:r>
    </w:p>
    <w:p>
      <w:pPr>
        <w:pStyle w:val="TextBody"/>
        <w:bidi w:val="0"/>
        <w:spacing w:before="240" w:after="0"/>
        <w:jc w:val="left"/>
        <w:rPr/>
      </w:pPr>
      <w:r>
        <w:rPr/>
        <w:t>“</w:t>
      </w:r>
      <w:r>
        <w:rPr>
          <w:rFonts w:ascii="Times New Roman" w:hAnsi="Times New Roman"/>
          <w:i/>
          <w:sz w:val="20"/>
        </w:rPr>
        <w:t>USCG</w:t>
      </w:r>
      <w:r>
        <w:rPr>
          <w:rFonts w:ascii="Times New Roman" w:hAnsi="Times New Roman"/>
          <w:sz w:val="20"/>
        </w:rPr>
        <w:t xml:space="preserve">” means United States Coast Guard.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market and industry data and forecasts that we have derived from publicly available information, various industry publications, other published industry sources and our internal data and estimates.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internal data and estimates are based upon information obtained from trade and business organizations and other contacts in the markets in which we operate. Although we believe these third-party sources are reliable as of their respective dates, we have not had this information further verified by any other independent sources. These sources include industry data from Wood Mackenzie’s Emissions Benchmarking Tool, a report titled “Short-Term Energy Outlook,” dated October 2025, by the U.S. Energy Information Administration (the “2025 EIA Outlook”), a report titled “Macro and OSV Demand Drivers Outlook,” dated September 2025, by Rystad Energy Consultants, and a report titled “OSV Market Study,” dated October 2025, by Fearnley Offshore Supply. Similarly, our internal research is based upon our understanding of industry conditions. The industry in which we operate is subject to a high degree of uncertainty and risk due to a variety of factors, including those described in the sections entitled “Risk Factors” and “Special Note Regarding Forward-Looking Statements.” These and other factors could cause results to differ materially from those expressed in our estimates and these third-party sources. </w:t>
      </w:r>
    </w:p>
    <w:p>
      <w:pPr>
        <w:pStyle w:val="TextBody"/>
        <w:bidi w:val="0"/>
        <w:spacing w:before="240" w:after="0"/>
        <w:jc w:val="left"/>
        <w:rPr>
          <w:rFonts w:ascii="Times New Roman" w:hAnsi="Times New Roman"/>
          <w:sz w:val="20"/>
        </w:rPr>
      </w:pPr>
      <w:r>
        <w:rPr>
          <w:rFonts w:ascii="Times New Roman" w:hAnsi="Times New Roman"/>
          <w:sz w:val="20"/>
        </w:rPr>
        <w:t xml:space="preserve">Certain valuation information included in this prospectus is an aggregation based on reports prepared by VesselsValueTM, a Veson Nautical company, which is an independent online valuation and market intelligence provider for the maritime industry (“VesselsValueTM”). None of such reports were commissioned by or on behalf of Hornbeck, and none of the information contained therein was prepared in connection with, or specifically for use in, this prospectus. The VesselsValueTM market value data presented in this prospectus is an estimate of the fair market price and newbuild, or replacement cost, of our vessels, in U.S. dollars, as at the valuation date only, and is based on the price VesselsValueTM estimates in good faith that the vessels would obtain in a hypothetical transaction between a willing buyer and a willing seller on the basis of prompt charter-free delivery at an acceptable worldwide delivery port, for cash payment on standard sale terms. For the purposes of those estimates, it is assumed that the particulars of the vessels are correct, and that the vessels are in good, sound and seaworthy condition, free of maritime liens and all debts whatsoever, fully classed to the requirements of present classification society, free of class recommendations, with clean and valid trading certificates, and where relevant to type and age of each vessel with full oil majors vetting approval, “Rightship” satisfactory inspection/safety score and any other relevant approvals in place. It should be noted that these market valuations are not based on a physical inspection of the vessel nor an inspection of the class records of the vessels by VesselsValueTM. The estimated market values are for the valuation date only and no assurance is given that any such value will be sustained or is realizable in an actual transaction. The two MPSVs under construction (as discussed in this prospectus) are valued as though completed, in accordance with VesselsValueTM criteria.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TRADEMARKS, TRADENAMES AND SERVICE MARKS </w:t>
      </w:r>
    </w:p>
    <w:p>
      <w:pPr>
        <w:pStyle w:val="TextBody"/>
        <w:bidi w:val="0"/>
        <w:spacing w:before="240" w:after="0"/>
        <w:jc w:val="left"/>
        <w:rPr>
          <w:rFonts w:ascii="Times New Roman" w:hAnsi="Times New Roman"/>
          <w:sz w:val="20"/>
        </w:rPr>
      </w:pPr>
      <w:r>
        <w:rPr>
          <w:rFonts w:ascii="Times New Roman" w:hAnsi="Times New Roman"/>
          <w:sz w:val="20"/>
        </w:rPr>
        <w:t xml:space="preserve">We own or have rights to trademarks or trade names that we use in conjunction with the operation of our business and that appear in this prospectus. For more information about our license to use certain trademarks and trade names, see “Risk Factors—We do not own the Hornbeck Brands, but may use the Hornbeck Brands pursuant to the terms of a license granted by HFR, and our business may be materially harmed if we breach our license agreement or it is terminated.” This prospectus also contains trademarks, service marks, trade names and copyrights of other companies which, to our knowledge, are the property of their respective owners. Solely for convenience, trademarks and trade names referred to in this prospectus may appear without the ® or  symbols, but the absence of such symbols does not indicate the registration status of the trademarks and is not intended to indicate, in any way, that we will not assert, to the fullest extent under applicable law, our rights or the right of the applicable licensor to such trademarks and trade 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BASIS OF PRESENTATION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references in this prospectus to the “Company,” “Hornbeck,” “we,” “us” and “our” refer to Hornbeck Offshore Services, Inc. and its consolidated subsidiaries. </w:t>
      </w:r>
    </w:p>
    <w:p>
      <w:pPr>
        <w:pStyle w:val="TextBody"/>
        <w:bidi w:val="0"/>
        <w:spacing w:before="240" w:after="0"/>
        <w:jc w:val="left"/>
        <w:rPr>
          <w:rFonts w:ascii="Times New Roman" w:hAnsi="Times New Roman"/>
          <w:sz w:val="20"/>
        </w:rPr>
      </w:pPr>
      <w:r>
        <w:rPr>
          <w:rFonts w:ascii="Times New Roman" w:hAnsi="Times New Roman"/>
          <w:sz w:val="20"/>
        </w:rPr>
        <w:t>Unless otherwise stated, discussions surrounding our vessels are as of December 31, 2025. Such discussions include two partially constructed Jones Act-qualified MPSV newbuilds to be completed pursuant to our settlement with the Surety, as further discussed in “Management’s Discussion and Analysis of Financial Condition and Results of Operations—Recent Developments—</w:t>
      </w:r>
      <w:r>
        <w:rPr>
          <w:rFonts w:ascii="Times New Roman" w:hAnsi="Times New Roman"/>
          <w:strike/>
          <w:sz w:val="20"/>
        </w:rPr>
        <w:t xml:space="preserve"> </w:t>
      </w:r>
      <w:r>
        <w:rPr>
          <w:rFonts w:ascii="Times New Roman" w:hAnsi="Times New Roman"/>
          <w:sz w:val="20"/>
        </w:rPr>
        <w:t xml:space="preserve">MPSV Newbuild Construction.” Our vessels exclude four OSVs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consummation of this offering and after the effectiveness of the registration statement of which this prospectus forms a part, we will effect a      -for-one forward stock split with respect to our common stock (the “stock split”). In this prospectus, we include certain metrics on a “pro forma” basis to give effect to the stock split. Further, unless otherwise indicated, all references in this prospectus to the number of shares issuable upon exercise of Creditor Warrants assume such Creditor Warrants are exercised for cash. </w:t>
      </w:r>
    </w:p>
    <w:p>
      <w:pPr>
        <w:pStyle w:val="TextBody"/>
        <w:bidi w:val="0"/>
        <w:spacing w:before="480" w:after="0"/>
        <w:jc w:val="center"/>
        <w:rPr>
          <w:rFonts w:ascii="Times New Roman" w:hAnsi="Times New Roman"/>
          <w:b/>
          <w:sz w:val="20"/>
        </w:rPr>
      </w:pPr>
      <w:r>
        <w:rPr>
          <w:rFonts w:ascii="Times New Roman" w:hAnsi="Times New Roman"/>
          <w:b/>
          <w:sz w:val="20"/>
        </w:rPr>
        <w:t xml:space="preserve">PRESENTATION OF CERTAIN FINANCIAL MEASURES </w:t>
      </w:r>
    </w:p>
    <w:p>
      <w:pPr>
        <w:pStyle w:val="TextBody"/>
        <w:bidi w:val="0"/>
        <w:spacing w:before="240" w:after="0"/>
        <w:jc w:val="left"/>
        <w:rPr>
          <w:rFonts w:ascii="Times New Roman" w:hAnsi="Times New Roman"/>
          <w:sz w:val="20"/>
        </w:rPr>
      </w:pPr>
      <w:r>
        <w:rPr>
          <w:rFonts w:ascii="Times New Roman" w:hAnsi="Times New Roman"/>
          <w:sz w:val="20"/>
        </w:rPr>
        <w:t xml:space="preserve">We disclose and discuss EBITDA, Adjusted EBITDA and Adjusted Free Cash Flow as non-GAAP financial measures in this prospectus. We define EBITDA as earnings (net income or loss) before interest, income taxes,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reflects certain adjustments to EBITDA for gains or losses on early extinguishment of debt, postponed offering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 </w:t>
      </w:r>
    </w:p>
    <w:p>
      <w:pPr>
        <w:pStyle w:val="TextBody"/>
        <w:bidi w:val="0"/>
        <w:spacing w:before="240" w:after="0"/>
        <w:jc w:val="left"/>
        <w:rPr>
          <w:rFonts w:ascii="Times New Roman" w:hAnsi="Times New Roman"/>
          <w:sz w:val="20"/>
        </w:rPr>
      </w:pPr>
      <w:r>
        <w:rPr>
          <w:rFonts w:ascii="Times New Roman" w:hAnsi="Times New Roman"/>
          <w:sz w:val="20"/>
        </w:rPr>
        <w:t xml:space="preserve">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and existing credit facilities, future debt arrangements may require compliance with certain ratios that will likely include EBITDA or Adjusted EBITDA in the computations. Adjusted EBITDA is also currently utilized in connection with our short-term cash bonus incentive compensation programs. </w:t>
      </w:r>
    </w:p>
    <w:p>
      <w:pPr>
        <w:pStyle w:val="TextBody"/>
        <w:bidi w:val="0"/>
        <w:spacing w:before="240" w:after="0"/>
        <w:jc w:val="left"/>
        <w:rPr>
          <w:rFonts w:ascii="Times New Roman" w:hAnsi="Times New Roman"/>
          <w:sz w:val="20"/>
        </w:rPr>
      </w:pPr>
      <w:r>
        <w:rPr>
          <w:rFonts w:ascii="Times New Roman" w:hAnsi="Times New Roman"/>
          <w:sz w:val="20"/>
        </w:rPr>
        <w:t xml:space="preserve">For reconciliations of EBITDA, Adjusted EBITDA and Adjusted Free Cash Flow to the most directly comparable measure under GAAP, see “Summary—Summary Historical Financial and Other Data” and “Management’s Discussion and Analysis of Financial Condition and Results of Operations—Non-GAAP Financial Measures.” </w:t>
      </w:r>
    </w:p>
    <w:p>
      <w:pPr>
        <w:pStyle w:val="TextBody"/>
        <w:bidi w:val="0"/>
        <w:spacing w:before="48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None of the selling stockholders, the underwriters or us have authorized anyone to provide you with information or make any representations other than those contained in this prospectus. We, the selling stockholders and the underwriters take no responsibility for, and provide no assurance as to the reliability of, any other information that others may give you. This prospectus is an offer to sell only the shares offered hereby, and only under circumstances and in jurisdictions where it is lawful to do so. You should assume that the information appearing in this prospectus is accurate as of the date on the front cover of this prospectus only. Our business, financial condition, results of operations and prospects may have changed since that date. We will update this prospectus as required by law, including with respect to any material change affecting us or our business prior to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prospectus have been subject to rounding adjustments. </w:t>
      </w:r>
    </w:p>
    <w:p>
      <w:pPr>
        <w:pStyle w:val="TextBody"/>
        <w:bidi w:val="0"/>
        <w:spacing w:before="240" w:after="0"/>
        <w:jc w:val="left"/>
        <w:rPr>
          <w:rFonts w:ascii="Times New Roman" w:hAnsi="Times New Roman"/>
          <w:sz w:val="20"/>
        </w:rPr>
      </w:pPr>
      <w:r>
        <w:rPr>
          <w:rFonts w:ascii="Times New Roman" w:hAnsi="Times New Roman"/>
          <w:sz w:val="20"/>
        </w:rPr>
        <w:t xml:space="preserve">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rom66194_1"/>
      <w:bookmarkEnd w:id="3"/>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and our expectations, beliefs, plans, strategies, objectives, prospects, assumptions or future events or performance contained in this prospectus under the headings “Summary,” “Risk Factors,” “Management’s Discussion and Analysis of Financial Condition and Results of Operations,” and “Business” are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market opportunity and the potential growth of that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strategy, outcomes, and growth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trends in our industry and service-offerings;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environment in which we operate.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Some of the factors that could cause actual results to differ materially from those expressed or implied by such forward-looking statements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impacts from changes in oil and natural gas prices in the United States and worldwide;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decisions and capital spending by customers in the energy industry and the industry expectations for offshore exploration, field development and production across our various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decisions or plans or delays for offshore wind development in the United States, including stop work orders or cancellation of certain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global financial market conditions and potential constraints in accessing capital or credit if and when needed with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tariff regimes by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unplanned customer suspensions, cancellations, rate reductions or non-renewals of vessel charters or vessel management contracts, or failures to finalize commitments to charter or manage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non-delivery of vessels subject to new construction agreements effective at the time of this offering, including delivery of the two remaining vessels under our MPSV newbuild program or a default by Zurich in its obligations to complete our two MPSV newbuilds;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accurately predict vessel utilization levels and dayrates;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market across various industry applications the vessels that we own, are constructing or may construct or convert in the future, have recently acquired or might acquire, including in traditional energy as well as offshore wind, military and other non-oilfield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integration of acquired businesses or vessels, or entry into new lines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customer demands for vessel specifications, which may make some of our older vessels technologically obsolete for certain customer projects or in certain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operating risks normally incident to our lines of business, including the potential impact of liquidated counterparties;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over-supply resulting from reactivating currently-stacked vessels or from constructing new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U.S. government’s procurement policies and practices with regard to the chartering of privately-owned vessels or the management of government-owned vessels by private operators;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oil spill or other significant event in the United States or another offshore drilling region having a broad impact on deepwater and ultra-deepwater and other offshore energy exploration and production activities, such as the suspension of activities or significant regulatory responses;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laws or regulations that result in reduced exploration and production activities or that increase our or our customers’ operating costs or operating requirements, including laws and regulations addressing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liability for remedial actions or assessments under existing or future environmental regulations or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existing or future environmental regulations or litigation on our business or customer plans or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reach or otherwise meet initiatives, plans or ambitions with respect to sustainability matters, including mandates imposed by customers or governmental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with customers or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consolidation of our customer base;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or regulatory changes that shorten the expected useful lives of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increased regulatory burdens and oversight;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judicial or political barriers to exploration and production activities in Mexico, Brazil or other foreign locations;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 governmental policy or judicial or regulatory action, or the enforcement thereof, in Mexico affecting international trade or our Mexican registration and operation of our vessels in Mexican cabotage;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or other legal changes in Mexican, Brazilian or other Latin American jurisdictions’ cabotage laws or maritime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emergence of new cabotage restrictions that impact our ability to operate in other foreign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legal, tax or administrative changes in Mexico that adversely impact planned or expected offshore energy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difficulty in effectively competing in or operating in international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social, tax, geopolitical and weather-related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changes in various laws and regulations as a result of changes in the executive and legislative branches in the United States and Mexico;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insolvency or other adverse financial events that result in default by PEMEX in payment obligations owed to us directly or by PEMEX contractors that we work 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terrorism, piracy or government-sanctioned privateering;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regional or global public health crises or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issues that may be encountered in expanding our service offering within our existing government franchise, in the emerging offshore wind industry, and in other non-oilfield applications;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shortage of or the inability to attract and retain qualified personnel, when needed, including licensed vessel personnel for active vessels or vessels we may acquire or reactivate;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repeal or administrative weakening of the Jones Act or adverse changes in the interpretation of the Jones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drydocking delays, supply chain shortages and cost overruns and related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vessel accidents, pollution incidents or other events resulting in lost revenue, fines, penalties or other expenses that are unrecoverable from insurance policies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outcomes in pending or future legal or administrative proceedings, and any unexpected litigation and insurance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asserted and unasserted claims and the extent of available insurance coverage;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valuations compared to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unionization of our workforce;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shortages of qualified mariners resulting in increased wages, inability to crew vessels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impacting licensure or compensation paid to mariners;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foreign operations, such as non-compliance with, the unanticipated effect of, or unexpected assessments/enforcement actions taken in connection with, tax laws, customs laws, immigration laws, importation laws or other legislation that result in higher than anticipated tax rates or other costs, especially in higher political risk countries where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applicable tax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risks in countries outside of the United States, including unlawful detentions, arrests, confiscation or nationalization of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ability to use our net operating loss (“NOL”) carryforwards and other tax attributes;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refinance or otherwise retire certain funded debt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for any impairment charges that could arise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potential information technology, cybersecurity or data security breaches;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described under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future results may be impacted by adverse economic conditions, such as inflation, deflation, fluctuations in foreign currency exchange rates, supply chain disruptions, lack of liquidity in the capital markets or an increase in interest rates, that may negatively affect us or parties with whom we do business resulting in their non-payment or inability to perform obligations owed to us, such as the failure of customers to fulfill their contractual obligations, if and when required. </w:t>
      </w:r>
    </w:p>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that information forms a reasonable basis for such statements, that information may be limited or incomplete, and our statements should not be read to indicate that we have concluded an exhaustive inquiry into, or review of, all potentially available relevant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xiii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66194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but it does not contain all of the information that you should consider before deciding to invest in our common stock. You should carefully read the entire prospectus, including the information presented under the section entitled “Risk Factors” and the financial statements and the notes thereto, included elsewhere in this prospectus, before making an investment decision. Some of the statements in the following summary constitute forward-looking statements. See “Special Note Regarding Forward-Looking Statements.” Unless the context otherwise requires, all references in this summary to the “Company,” “Hornbeck,” “HOS,” “we,” “us,” “our” or similar terms refer to Hornbeck Offshore Services, Inc. and its consolidated subsidiaries. Where we present information on an “as adjusted basis,” it means that such information is presented giving effect to this offering and the use of proceeds therefrom, as reflected in more detail under the captions “Use of Proceeds” and “Capitalization.” Additionally, unless noted otherwise, discussions surrounding our vessels are as of December 31, 2025, and include two partially constructed Jones Act-qualified MPSV newbuilds to be completed pursuant to our settlement with the Surety, as discussed further in “Management’s Discussion and Analysis of Financial Condition and Results of Operations—Recent Developments—MPSV Newbuild Construction.” Our vessels exclude four OSVs formerly owned by us that we now operate and maintain for the U.S. Navy.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We have defined certain industry terms used in this document in “Commonly Used Defined Terms” and “Glossary of Terms,” appearing immediately after the Table of Contents to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74 offshore vessels comprised of 15 MPSVs, two of which are under construction, and 59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46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of 15 MPSVs provides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the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strategically repositioned our fleet to capture value across these diversified end-markets. As of September 30, 2025, approximately 70%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250-ton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of 59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high-specification OSVs alongside our MPSV fleet to support major projects, creating logistical efficiencies and vessel-bundling opportunities that increase utilization and enhance both our operational and financial performance.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strengths of our OSVs and MPSVs are further enhanced by several complementary shore-based assets and service offerings we have developed since our formation. We own and operate a shore-base facility in Port Fourchon, Louisiana, providing approximately 60 acres and nearly 3,000 linear feet of proprietary dock space capable of providing staging, storage, dispatch, and dockage services for both customers and our fleet of vessels. In combination with HOSLIFT, a 7,700 mT floating drydock, we are able to efficiently conduct ongoing maintenance and topside repairs of our vessels, as well as upgrade and replace installed equipment. Our in-house engineering capabilities, comprised of approximately 16 individuals who specialize in naval architecture and marine engineering, provide a point of differentiation from our competitors by allowing us to design, modify and reconfigure vessels tailored to specific jobs and customer requirements. These capabilities are highly valuable in an evolving industry and allow us to quickly respond to dynamic customer needs and capitalize on emerging market opportunities. As an example, we recently completed the conversion of one of our U.S.-flagged HOSMAX 280-class OSVs into a dual-service MPSV capable of operating as either a C/SOV for offshore wind farm development or as a flotel for offshore oilfields. Immediately upon delivery in November 2025, the converted MPSV was placed into active service on a contract providing support to an offshore wind project development off the U.S. East Coast. Finally, we and certain personnel possess government security clearances necessary to participate in U.S. government tendering for highly sensitive, mission-critical projects affecting U.S. national security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Hornbeck, our mission is to be recognized as the marine transportation and service “Company of Choice” for our customers, employees and investors through innovative, high-quality and value-added business solutions delivered with enthusiasm, integrity and professionalism, with the utmost regard for safety of individuals and the protection of the environment. With an average of nearly 40 years of experience in the maritime industry, we believe that our executives and senior leadership team have the capabilities to successfully compete in the offshore vessel business and execute the strategy that best positions us to effectively outperform our peers in a demanding and dynamic operating environment.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Fleet Composition and Operating Regions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own and operate what we believe is one of the highest specification, most technologically advanced, fleet of OSVs and MPSVs in the industry. Our strategic approach to fleet composition has focused on competing in highly complex deepwater markets in advantaged geographic locations, with the ability to provide a full range of “life-of-field” services to a variety of customer end-markets. We have assembled a fleet of highly flexible vessels with diverse capabilities, enabling us to effectively support a customer mix that encompasses oil and gas, military, renewable energy, and other non-oilfield end-markets.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Diversified, High-Specification Fleet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is comprised of some of the most capable vessels in the marine transportation service industry. Relative to our Jones Act-qualified peers, we have one of the highest concentrations of high-spec or ultra high-spec vessels in the market, as measured by DWT capacity. These vessels include specialty equipment and technologies that are of paramount importance to our customers who are seeking to execute some of the most complex and impactful offshore projects in the industry. As a result, our customers are willing to pay premium dayrates to charter our vessels, which, in many cases, provide cargo-carrying capacities greater than many of our competitors.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Importantly, we proactively manage the composition and strategic positioning of our fleet to optimize the supply and demand dynamics for our active vessels within the protected markets in which we operate. This allows us to focus our resources on our highest specification, most profitable vessels, while preserving the option to opportunistically deploy incremental capacity to meet any rebounding customer demand. Our active vessels generally benefit from greater operational up-time, lower maintenance capital expenditures and relatively longer remaining economic useful lives. These factors help us consistently achieve average dayrates and financial margins that outperform our domestic public peers.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breadth of our fleet’s capabilities and the variety of end-markets we serve help to insulate our business from commodity price fluctuation and industry cyclicality. Our focus on the asset classes we own and the geographic locations in which we operate allows us to strategically reposition our vessels to more attractive markets depending upon prevailing industry themes, demand drivers and growth opportunities. Moreover, our in-house engineering capabilities and shore-based assets allow us to design, modify and assemble vessels tailored to specific jobs and customer needs in a timely, cost-efficient manner. We believe these differentiating capabilities help our active fleet achieve industry-leading dayrates regardless of market conditions and uniquely position us to capitalize on emerging market opportunities with a first-mover advantage. </w:t>
      </w:r>
    </w:p>
    <w:p>
      <w:pPr>
        <w:pStyle w:val="TextBody"/>
        <w:bidi w:val="0"/>
        <w:spacing w:before="360" w:after="0"/>
        <w:jc w:val="left"/>
        <w:rPr>
          <w:rFonts w:ascii="Times New Roman" w:hAnsi="Times New Roman"/>
          <w:sz w:val="20"/>
          <w:bdr w:val="single" w:sz="8" w:space="1" w:color="000000"/>
        </w:rPr>
      </w:pPr>
      <w:r>
        <w:rPr>
          <w:rFonts w:ascii="Times New Roman" w:hAnsi="Times New Roman"/>
          <w:i/>
          <w:sz w:val="20"/>
          <w:bdr w:val="single" w:sz="8" w:space="1" w:color="000000"/>
        </w:rPr>
        <w:t>OSV Fleet</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illustrates our fleet of owned or operated OSVs and the nations in which they are flagged as of December 31, 2025: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05"/>
        <w:gridCol w:w="129"/>
        <w:gridCol w:w="1909"/>
        <w:gridCol w:w="185"/>
        <w:gridCol w:w="85"/>
        <w:gridCol w:w="370"/>
        <w:gridCol w:w="60"/>
        <w:gridCol w:w="346"/>
        <w:gridCol w:w="141"/>
        <w:gridCol w:w="623"/>
        <w:gridCol w:w="60"/>
        <w:gridCol w:w="346"/>
        <w:gridCol w:w="172"/>
        <w:gridCol w:w="772"/>
        <w:gridCol w:w="60"/>
        <w:gridCol w:w="297"/>
        <w:gridCol w:w="119"/>
        <w:gridCol w:w="531"/>
        <w:gridCol w:w="104"/>
        <w:gridCol w:w="346"/>
        <w:gridCol w:w="105"/>
        <w:gridCol w:w="990"/>
        <w:gridCol w:w="129"/>
        <w:gridCol w:w="346"/>
        <w:gridCol w:w="214"/>
        <w:gridCol w:w="1221"/>
        <w:gridCol w:w="140"/>
      </w:tblGrid>
      <w:tr>
        <w:trPr/>
        <w:tc>
          <w:tcPr>
            <w:tcW w:w="40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r>
      <w:tr>
        <w:trPr/>
        <w:tc>
          <w:tcPr>
            <w:tcW w:w="2443" w:type="dxa"/>
            <w:gridSpan w:val="3"/>
            <w:tcBorders>
              <w:bottom w:val="single" w:sz="8" w:space="0" w:color="000000"/>
            </w:tcBorders>
            <w:tcMar>
              <w:bottom w:w="28" w:type="dxa"/>
            </w:tcMar>
            <w:vAlign w:val="bottom"/>
          </w:tcPr>
          <w:p>
            <w:pPr>
              <w:pStyle w:val="TableContents"/>
              <w:bidi w:val="0"/>
              <w:spacing w:before="0" w:after="283"/>
              <w:jc w:val="center"/>
              <w:rPr>
                <w:b/>
              </w:rPr>
            </w:pPr>
            <w:r>
              <w:rPr>
                <w:b/>
              </w:rPr>
              <w:t>Vessel Class</w:t>
            </w:r>
          </w:p>
        </w:tc>
        <w:tc>
          <w:tcPr>
            <w:tcW w:w="185" w:type="dxa"/>
            <w:tcBorders>
              <w:bottom w:val="single" w:sz="8" w:space="0" w:color="000000"/>
            </w:tcBorders>
            <w:tcMar>
              <w:bottom w:w="28" w:type="dxa"/>
            </w:tcMar>
            <w:vAlign w:val="bottom"/>
          </w:tcPr>
          <w:p>
            <w:pPr>
              <w:pStyle w:val="TableContents"/>
              <w:bidi w:val="0"/>
              <w:spacing w:before="0" w:after="283"/>
              <w:jc w:val="left"/>
              <w:rPr/>
            </w:pPr>
            <w:r>
              <w:rPr/>
              <w:t>  </w:t>
            </w:r>
          </w:p>
        </w:tc>
        <w:tc>
          <w:tcPr>
            <w:tcW w:w="4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346" w:type="dxa"/>
            <w:tcBorders>
              <w:bottom w:val="single" w:sz="8" w:space="0" w:color="000000"/>
            </w:tcBorders>
            <w:tcMar>
              <w:bottom w:w="28" w:type="dxa"/>
            </w:tcMar>
            <w:vAlign w:val="bottom"/>
          </w:tcPr>
          <w:p>
            <w:pPr>
              <w:pStyle w:val="TableContents"/>
              <w:bidi w:val="0"/>
              <w:spacing w:before="0" w:after="283"/>
              <w:jc w:val="left"/>
              <w:rPr/>
            </w:pPr>
            <w:r>
              <w:rPr/>
              <w:t>    </w:t>
            </w:r>
          </w:p>
        </w:tc>
        <w:tc>
          <w:tcPr>
            <w:tcW w:w="7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Mexico</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346" w:type="dxa"/>
            <w:tcBorders>
              <w:bottom w:val="single" w:sz="8" w:space="0" w:color="000000"/>
            </w:tcBorders>
            <w:tcMar>
              <w:bottom w:w="28" w:type="dxa"/>
            </w:tcMar>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Vanuatu</w:t>
            </w:r>
          </w:p>
        </w:tc>
        <w:tc>
          <w:tcPr>
            <w:tcW w:w="60" w:type="dxa"/>
            <w:tcBorders>
              <w:bottom w:val="single" w:sz="8" w:space="0" w:color="000000"/>
            </w:tcBorders>
            <w:tcMar>
              <w:bottom w:w="28" w:type="dxa"/>
            </w:tcMar>
            <w:vAlign w:val="bottom"/>
          </w:tcPr>
          <w:p>
            <w:pPr>
              <w:pStyle w:val="TableContents"/>
              <w:bidi w:val="0"/>
              <w:spacing w:before="0" w:after="283"/>
              <w:jc w:val="left"/>
              <w:rPr/>
            </w:pPr>
            <w:r>
              <w:rPr/>
              <w:t> </w:t>
            </w:r>
          </w:p>
        </w:tc>
        <w:tc>
          <w:tcPr>
            <w:tcW w:w="297" w:type="dxa"/>
            <w:tcBorders>
              <w:bottom w:val="single" w:sz="8" w:space="0" w:color="000000"/>
            </w:tcBorders>
            <w:tcMar>
              <w:bottom w:w="28" w:type="dxa"/>
            </w:tcMar>
            <w:vAlign w:val="bottom"/>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Brazil</w:t>
            </w:r>
          </w:p>
        </w:tc>
        <w:tc>
          <w:tcPr>
            <w:tcW w:w="104" w:type="dxa"/>
            <w:tcBorders>
              <w:bottom w:val="single" w:sz="8" w:space="0" w:color="000000"/>
            </w:tcBorders>
            <w:tcMar>
              <w:bottom w:w="28" w:type="dxa"/>
            </w:tcMar>
            <w:vAlign w:val="bottom"/>
          </w:tcPr>
          <w:p>
            <w:pPr>
              <w:pStyle w:val="TableContents"/>
              <w:bidi w:val="0"/>
              <w:spacing w:before="0" w:after="283"/>
              <w:jc w:val="left"/>
              <w:rPr/>
            </w:pPr>
            <w:r>
              <w:rPr/>
              <w:t> </w:t>
            </w:r>
          </w:p>
        </w:tc>
        <w:tc>
          <w:tcPr>
            <w:tcW w:w="346" w:type="dxa"/>
            <w:tcBorders>
              <w:bottom w:val="single" w:sz="8" w:space="0" w:color="000000"/>
            </w:tcBorders>
            <w:tcMar>
              <w:bottom w:w="28" w:type="dxa"/>
            </w:tcMar>
            <w:vAlign w:val="bottom"/>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Avg DWT</w:t>
            </w:r>
          </w:p>
        </w:tc>
        <w:tc>
          <w:tcPr>
            <w:tcW w:w="129" w:type="dxa"/>
            <w:tcBorders>
              <w:bottom w:val="single" w:sz="8" w:space="0" w:color="000000"/>
            </w:tcBorders>
            <w:tcMar>
              <w:bottom w:w="28" w:type="dxa"/>
            </w:tcMar>
            <w:vAlign w:val="bottom"/>
          </w:tcPr>
          <w:p>
            <w:pPr>
              <w:pStyle w:val="TableContents"/>
              <w:bidi w:val="0"/>
              <w:spacing w:before="0" w:after="283"/>
              <w:jc w:val="left"/>
              <w:rPr/>
            </w:pPr>
            <w:r>
              <w:rPr/>
              <w:t> </w:t>
            </w:r>
          </w:p>
        </w:tc>
        <w:tc>
          <w:tcPr>
            <w:tcW w:w="346" w:type="dxa"/>
            <w:tcBorders>
              <w:bottom w:val="single" w:sz="8" w:space="0" w:color="000000"/>
            </w:tcBorders>
            <w:tcMar>
              <w:bottom w:w="28" w:type="dxa"/>
            </w:tcMar>
            <w:vAlign w:val="bottom"/>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in Class</w:t>
            </w:r>
          </w:p>
        </w:tc>
        <w:tc>
          <w:tcPr>
            <w:tcW w:w="140" w:type="dxa"/>
            <w:tcBorders>
              <w:bottom w:val="single" w:sz="8" w:space="0" w:color="000000"/>
            </w:tcBorders>
            <w:tcMar>
              <w:bottom w:w="28" w:type="dxa"/>
            </w:tcMar>
            <w:vAlign w:val="bottom"/>
          </w:tcPr>
          <w:p>
            <w:pPr>
              <w:pStyle w:val="TableContents"/>
              <w:bidi w:val="0"/>
              <w:spacing w:before="0" w:after="283"/>
              <w:jc w:val="left"/>
              <w:rPr/>
            </w:pPr>
            <w:r>
              <w:rPr/>
              <w:t> </w:t>
            </w:r>
          </w:p>
        </w:tc>
      </w:tr>
      <w:tr>
        <w:trPr/>
        <w:tc>
          <w:tcPr>
            <w:tcW w:w="40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drawing>
                <wp:inline distT="0" distB="0" distL="0" distR="0">
                  <wp:extent cx="133985" cy="8851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985" cy="885190"/>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shd w:fill="CCEEFF" w:val="clear"/>
            <w:vAlign w:val="bottom"/>
          </w:tcPr>
          <w:p>
            <w:pPr>
              <w:pStyle w:val="TableContents"/>
              <w:bidi w:val="0"/>
              <w:spacing w:before="0" w:after="283"/>
              <w:jc w:val="left"/>
              <w:rPr/>
            </w:pPr>
            <w:r>
              <w:rPr/>
              <w:t> </w:t>
            </w:r>
          </w:p>
        </w:tc>
        <w:tc>
          <w:tcPr>
            <w:tcW w:w="1909" w:type="dxa"/>
            <w:tcBorders/>
            <w:shd w:fill="CCEEFF" w:val="clear"/>
          </w:tcPr>
          <w:p>
            <w:pPr>
              <w:pStyle w:val="TableContents"/>
              <w:bidi w:val="0"/>
              <w:spacing w:before="0" w:after="283"/>
              <w:jc w:val="left"/>
              <w:rPr/>
            </w:pPr>
            <w:r>
              <w:rPr/>
              <w:t>HOSFLEX 370</w:t>
            </w:r>
          </w:p>
        </w:tc>
        <w:tc>
          <w:tcPr>
            <w:tcW w:w="185" w:type="dxa"/>
            <w:tcBorders/>
            <w:shd w:fill="CCEEFF" w:val="clear"/>
            <w:vAlign w:val="bottom"/>
          </w:tcPr>
          <w:p>
            <w:pPr>
              <w:pStyle w:val="TableContents"/>
              <w:bidi w:val="0"/>
              <w:spacing w:before="0" w:after="283"/>
              <w:jc w:val="left"/>
              <w:rPr/>
            </w:pPr>
            <w:r>
              <w:rPr/>
              <w:t>  </w:t>
            </w:r>
          </w:p>
        </w:tc>
        <w:tc>
          <w:tcPr>
            <w:tcW w:w="85" w:type="dxa"/>
            <w:tcBorders/>
            <w:shd w:fill="CCEEFF" w:val="clear"/>
          </w:tcPr>
          <w:p>
            <w:pPr>
              <w:pStyle w:val="TableContents"/>
              <w:bidi w:val="0"/>
              <w:spacing w:before="0" w:after="283"/>
              <w:jc w:val="left"/>
              <w:rPr/>
            </w:pPr>
            <w:r>
              <w:rPr/>
              <w:t> </w:t>
            </w:r>
          </w:p>
        </w:tc>
        <w:tc>
          <w:tcPr>
            <w:tcW w:w="370" w:type="dxa"/>
            <w:tcBorders/>
            <w:shd w:fill="CCEEFF" w:val="clear"/>
          </w:tcPr>
          <w:p>
            <w:pPr>
              <w:pStyle w:val="TableContents"/>
              <w:bidi w:val="0"/>
              <w:spacing w:before="0" w:after="283"/>
              <w:jc w:val="center"/>
              <w:rPr/>
            </w:pPr>
            <w:r>
              <w:rPr/>
              <w:t>2</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pPr>
            <w:r>
              <w:rPr/>
              <w:t> </w:t>
            </w:r>
          </w:p>
        </w:tc>
        <w:tc>
          <w:tcPr>
            <w:tcW w:w="623"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pPr>
            <w:r>
              <w:rPr/>
              <w:t> </w:t>
            </w:r>
          </w:p>
        </w:tc>
        <w:tc>
          <w:tcPr>
            <w:tcW w:w="772"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pPr>
            <w:r>
              <w:rPr/>
              <w:t> </w:t>
            </w:r>
          </w:p>
        </w:tc>
        <w:tc>
          <w:tcPr>
            <w:tcW w:w="531" w:type="dxa"/>
            <w:tcBorders/>
            <w:shd w:fill="CCEEFF" w:val="clear"/>
          </w:tcPr>
          <w:p>
            <w:pPr>
              <w:pStyle w:val="TableContents"/>
              <w:bidi w:val="0"/>
              <w:spacing w:before="0" w:after="283"/>
              <w:jc w:val="center"/>
              <w:rPr/>
            </w:pPr>
            <w:r>
              <w:rPr/>
              <w:t>—</w:t>
            </w:r>
          </w:p>
        </w:tc>
        <w:tc>
          <w:tcPr>
            <w:tcW w:w="104"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tcPr>
          <w:p>
            <w:pPr>
              <w:pStyle w:val="TableContents"/>
              <w:bidi w:val="0"/>
              <w:spacing w:before="0" w:after="283"/>
              <w:jc w:val="left"/>
              <w:rPr/>
            </w:pPr>
            <w:r>
              <w:rPr/>
              <w:t> </w:t>
            </w:r>
          </w:p>
        </w:tc>
        <w:tc>
          <w:tcPr>
            <w:tcW w:w="990" w:type="dxa"/>
            <w:tcBorders/>
            <w:shd w:fill="CCEEFF" w:val="clear"/>
          </w:tcPr>
          <w:p>
            <w:pPr>
              <w:pStyle w:val="TableContents"/>
              <w:bidi w:val="0"/>
              <w:spacing w:before="0" w:after="283"/>
              <w:jc w:val="center"/>
              <w:rPr/>
            </w:pPr>
            <w:r>
              <w:rPr/>
              <w:t>7,886</w:t>
            </w:r>
          </w:p>
        </w:tc>
        <w:tc>
          <w:tcPr>
            <w:tcW w:w="129"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center"/>
              <w:rPr/>
            </w:pPr>
            <w:r>
              <w:rPr/>
              <w:t>2</w:t>
            </w:r>
          </w:p>
        </w:tc>
        <w:tc>
          <w:tcPr>
            <w:tcW w:w="140" w:type="dxa"/>
            <w:tcBorders/>
            <w:shd w:fill="CCEEFF" w:val="clear"/>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1909" w:type="dxa"/>
            <w:tcBorders/>
          </w:tcPr>
          <w:p>
            <w:pPr>
              <w:pStyle w:val="TableContents"/>
              <w:bidi w:val="0"/>
              <w:spacing w:before="0" w:after="283"/>
              <w:jc w:val="left"/>
              <w:rPr/>
            </w:pPr>
            <w:r>
              <w:rPr/>
              <w:t>HOSMAX 320</w:t>
            </w:r>
          </w:p>
        </w:tc>
        <w:tc>
          <w:tcPr>
            <w:tcW w:w="185" w:type="dxa"/>
            <w:tcBorders/>
            <w:vAlign w:val="bottom"/>
          </w:tcPr>
          <w:p>
            <w:pPr>
              <w:pStyle w:val="TableContents"/>
              <w:bidi w:val="0"/>
              <w:spacing w:before="0" w:after="283"/>
              <w:jc w:val="left"/>
              <w:rPr/>
            </w:pPr>
            <w:r>
              <w:rPr/>
              <w:t>  </w:t>
            </w:r>
          </w:p>
        </w:tc>
        <w:tc>
          <w:tcPr>
            <w:tcW w:w="85" w:type="dxa"/>
            <w:tcBorders/>
          </w:tcPr>
          <w:p>
            <w:pPr>
              <w:pStyle w:val="TableContents"/>
              <w:bidi w:val="0"/>
              <w:spacing w:before="0" w:after="283"/>
              <w:jc w:val="left"/>
              <w:rPr/>
            </w:pPr>
            <w:r>
              <w:rPr/>
              <w:t> </w:t>
            </w:r>
          </w:p>
        </w:tc>
        <w:tc>
          <w:tcPr>
            <w:tcW w:w="370" w:type="dxa"/>
            <w:tcBorders/>
          </w:tcPr>
          <w:p>
            <w:pPr>
              <w:pStyle w:val="TableContents"/>
              <w:bidi w:val="0"/>
              <w:spacing w:before="0" w:after="283"/>
              <w:jc w:val="center"/>
              <w:rPr/>
            </w:pPr>
            <w:r>
              <w:rPr/>
              <w:t>9</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623" w:type="dxa"/>
            <w:tcBorders/>
          </w:tcPr>
          <w:p>
            <w:pPr>
              <w:pStyle w:val="TableContents"/>
              <w:bidi w:val="0"/>
              <w:spacing w:before="0" w:after="283"/>
              <w:jc w:val="center"/>
              <w:rPr/>
            </w:pPr>
            <w:r>
              <w:rPr/>
              <w:t>1</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w:t>
            </w:r>
          </w:p>
        </w:tc>
        <w:tc>
          <w:tcPr>
            <w:tcW w:w="60" w:type="dxa"/>
            <w:tcBorders/>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31" w:type="dxa"/>
            <w:tcBorders/>
          </w:tcPr>
          <w:p>
            <w:pPr>
              <w:pStyle w:val="TableContents"/>
              <w:bidi w:val="0"/>
              <w:spacing w:before="0" w:after="283"/>
              <w:jc w:val="center"/>
              <w:rPr/>
            </w:pPr>
            <w:r>
              <w:rPr/>
              <w:t>—</w:t>
            </w:r>
          </w:p>
        </w:tc>
        <w:tc>
          <w:tcPr>
            <w:tcW w:w="104"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90" w:type="dxa"/>
            <w:tcBorders/>
          </w:tcPr>
          <w:p>
            <w:pPr>
              <w:pStyle w:val="TableContents"/>
              <w:bidi w:val="0"/>
              <w:spacing w:before="0" w:after="283"/>
              <w:jc w:val="center"/>
              <w:rPr/>
            </w:pPr>
            <w:r>
              <w:rPr/>
              <w:t>6,052</w:t>
            </w:r>
          </w:p>
        </w:tc>
        <w:tc>
          <w:tcPr>
            <w:tcW w:w="129"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tcPr>
          <w:p>
            <w:pPr>
              <w:pStyle w:val="TableContents"/>
              <w:bidi w:val="0"/>
              <w:spacing w:before="0" w:after="283"/>
              <w:jc w:val="left"/>
              <w:rPr/>
            </w:pPr>
            <w:r>
              <w:rPr/>
              <w:t> </w:t>
            </w:r>
          </w:p>
        </w:tc>
        <w:tc>
          <w:tcPr>
            <w:tcW w:w="1221" w:type="dxa"/>
            <w:tcBorders/>
          </w:tcPr>
          <w:p>
            <w:pPr>
              <w:pStyle w:val="TableContents"/>
              <w:bidi w:val="0"/>
              <w:spacing w:before="0" w:after="283"/>
              <w:jc w:val="center"/>
              <w:rPr/>
            </w:pPr>
            <w:r>
              <w:rPr/>
              <w:t>10</w:t>
            </w:r>
          </w:p>
        </w:tc>
        <w:tc>
          <w:tcPr>
            <w:tcW w:w="140" w:type="dxa"/>
            <w:tcBorders/>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shd w:fill="CCEEFF" w:val="clear"/>
            <w:vAlign w:val="bottom"/>
          </w:tcPr>
          <w:p>
            <w:pPr>
              <w:pStyle w:val="TableContents"/>
              <w:bidi w:val="0"/>
              <w:spacing w:before="0" w:after="283"/>
              <w:jc w:val="left"/>
              <w:rPr/>
            </w:pPr>
            <w:r>
              <w:rPr/>
              <w:t> </w:t>
            </w:r>
          </w:p>
        </w:tc>
        <w:tc>
          <w:tcPr>
            <w:tcW w:w="1909" w:type="dxa"/>
            <w:tcBorders/>
            <w:shd w:fill="CCEEFF" w:val="clear"/>
          </w:tcPr>
          <w:p>
            <w:pPr>
              <w:pStyle w:val="TableContents"/>
              <w:bidi w:val="0"/>
              <w:spacing w:before="0" w:after="283"/>
              <w:jc w:val="left"/>
              <w:rPr/>
            </w:pPr>
            <w:r>
              <w:rPr/>
              <w:t>HOSMAX 310</w:t>
            </w:r>
          </w:p>
        </w:tc>
        <w:tc>
          <w:tcPr>
            <w:tcW w:w="185" w:type="dxa"/>
            <w:tcBorders/>
            <w:shd w:fill="CCEEFF" w:val="clear"/>
            <w:vAlign w:val="bottom"/>
          </w:tcPr>
          <w:p>
            <w:pPr>
              <w:pStyle w:val="TableContents"/>
              <w:bidi w:val="0"/>
              <w:spacing w:before="0" w:after="283"/>
              <w:jc w:val="left"/>
              <w:rPr/>
            </w:pPr>
            <w:r>
              <w:rPr/>
              <w:t>  </w:t>
            </w:r>
          </w:p>
        </w:tc>
        <w:tc>
          <w:tcPr>
            <w:tcW w:w="85" w:type="dxa"/>
            <w:tcBorders/>
            <w:shd w:fill="CCEEFF" w:val="clear"/>
          </w:tcPr>
          <w:p>
            <w:pPr>
              <w:pStyle w:val="TableContents"/>
              <w:bidi w:val="0"/>
              <w:spacing w:before="0" w:after="283"/>
              <w:jc w:val="left"/>
              <w:rPr/>
            </w:pPr>
            <w:r>
              <w:rPr/>
              <w:t> </w:t>
            </w:r>
          </w:p>
        </w:tc>
        <w:tc>
          <w:tcPr>
            <w:tcW w:w="370" w:type="dxa"/>
            <w:tcBorders/>
            <w:shd w:fill="CCEEFF" w:val="clear"/>
          </w:tcPr>
          <w:p>
            <w:pPr>
              <w:pStyle w:val="TableContents"/>
              <w:bidi w:val="0"/>
              <w:spacing w:before="0" w:after="283"/>
              <w:jc w:val="center"/>
              <w:rPr/>
            </w:pPr>
            <w:r>
              <w:rPr/>
              <w:t>3</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pPr>
            <w:r>
              <w:rPr/>
              <w:t> </w:t>
            </w:r>
          </w:p>
        </w:tc>
        <w:tc>
          <w:tcPr>
            <w:tcW w:w="623"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pPr>
            <w:r>
              <w:rPr/>
              <w:t> </w:t>
            </w:r>
          </w:p>
        </w:tc>
        <w:tc>
          <w:tcPr>
            <w:tcW w:w="772"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pPr>
            <w:r>
              <w:rPr/>
              <w:t> </w:t>
            </w:r>
          </w:p>
        </w:tc>
        <w:tc>
          <w:tcPr>
            <w:tcW w:w="531" w:type="dxa"/>
            <w:tcBorders/>
            <w:shd w:fill="CCEEFF" w:val="clear"/>
          </w:tcPr>
          <w:p>
            <w:pPr>
              <w:pStyle w:val="TableContents"/>
              <w:bidi w:val="0"/>
              <w:spacing w:before="0" w:after="283"/>
              <w:jc w:val="center"/>
              <w:rPr/>
            </w:pPr>
            <w:r>
              <w:rPr/>
              <w:t>1</w:t>
            </w:r>
          </w:p>
        </w:tc>
        <w:tc>
          <w:tcPr>
            <w:tcW w:w="104"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tcPr>
          <w:p>
            <w:pPr>
              <w:pStyle w:val="TableContents"/>
              <w:bidi w:val="0"/>
              <w:spacing w:before="0" w:after="283"/>
              <w:jc w:val="left"/>
              <w:rPr/>
            </w:pPr>
            <w:r>
              <w:rPr/>
              <w:t> </w:t>
            </w:r>
          </w:p>
        </w:tc>
        <w:tc>
          <w:tcPr>
            <w:tcW w:w="990" w:type="dxa"/>
            <w:tcBorders/>
            <w:shd w:fill="CCEEFF" w:val="clear"/>
          </w:tcPr>
          <w:p>
            <w:pPr>
              <w:pStyle w:val="TableContents"/>
              <w:bidi w:val="0"/>
              <w:spacing w:before="0" w:after="283"/>
              <w:jc w:val="center"/>
              <w:rPr/>
            </w:pPr>
            <w:r>
              <w:rPr/>
              <w:t>5,921</w:t>
            </w:r>
          </w:p>
        </w:tc>
        <w:tc>
          <w:tcPr>
            <w:tcW w:w="129"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center"/>
              <w:rPr/>
            </w:pPr>
            <w:r>
              <w:rPr/>
              <w:t>4</w:t>
            </w:r>
          </w:p>
        </w:tc>
        <w:tc>
          <w:tcPr>
            <w:tcW w:w="140" w:type="dxa"/>
            <w:tcBorders/>
            <w:shd w:fill="CCEEFF" w:val="clear"/>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09" w:type="dxa"/>
            <w:tcBorders>
              <w:bottom w:val="single" w:sz="2" w:space="0" w:color="000000"/>
            </w:tcBorders>
            <w:shd w:fill="CCEEFF" w:val="clear"/>
            <w:tcMar>
              <w:bottom w:w="28" w:type="dxa"/>
            </w:tcMar>
          </w:tcPr>
          <w:p>
            <w:pPr>
              <w:pStyle w:val="TableContents"/>
              <w:bidi w:val="0"/>
              <w:spacing w:before="0" w:after="283"/>
              <w:jc w:val="left"/>
              <w:rPr/>
            </w:pPr>
            <w:r>
              <w:rPr/>
              <w:t>HOSMAX 300</w:t>
            </w:r>
          </w:p>
        </w:tc>
        <w:tc>
          <w:tcPr>
            <w:tcW w:w="18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70" w:type="dxa"/>
            <w:tcBorders>
              <w:bottom w:val="single" w:sz="2" w:space="0" w:color="000000"/>
            </w:tcBorders>
            <w:shd w:fill="CCEEFF" w:val="clear"/>
            <w:tcMar>
              <w:bottom w:w="28" w:type="dxa"/>
            </w:tcMar>
          </w:tcPr>
          <w:p>
            <w:pPr>
              <w:pStyle w:val="TableContents"/>
              <w:bidi w:val="0"/>
              <w:spacing w:before="0" w:after="283"/>
              <w:jc w:val="center"/>
              <w:rPr/>
            </w:pPr>
            <w:r>
              <w:rPr/>
              <w:t>2</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623" w:type="dxa"/>
            <w:tcBorders>
              <w:bottom w:val="single" w:sz="2" w:space="0" w:color="000000"/>
            </w:tcBorders>
            <w:shd w:fill="CCEEFF" w:val="clear"/>
            <w:tcMar>
              <w:bottom w:w="28" w:type="dxa"/>
            </w:tcMar>
          </w:tcPr>
          <w:p>
            <w:pPr>
              <w:pStyle w:val="TableContents"/>
              <w:bidi w:val="0"/>
              <w:spacing w:before="0" w:after="283"/>
              <w:jc w:val="center"/>
              <w:rPr/>
            </w:pPr>
            <w:r>
              <w:rPr/>
              <w:t>4</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531"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04"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990" w:type="dxa"/>
            <w:tcBorders>
              <w:bottom w:val="single" w:sz="2" w:space="0" w:color="000000"/>
            </w:tcBorders>
            <w:shd w:fill="CCEEFF" w:val="clear"/>
            <w:tcMar>
              <w:bottom w:w="28" w:type="dxa"/>
            </w:tcMar>
          </w:tcPr>
          <w:p>
            <w:pPr>
              <w:pStyle w:val="TableContents"/>
              <w:bidi w:val="0"/>
              <w:spacing w:before="0" w:after="283"/>
              <w:jc w:val="center"/>
              <w:rPr/>
            </w:pPr>
            <w:r>
              <w:rPr/>
              <w:t>5,472</w:t>
            </w:r>
          </w:p>
        </w:tc>
        <w:tc>
          <w:tcPr>
            <w:tcW w:w="12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1221" w:type="dxa"/>
            <w:tcBorders>
              <w:bottom w:val="single" w:sz="2" w:space="0" w:color="000000"/>
            </w:tcBorders>
            <w:shd w:fill="CCEEFF" w:val="clear"/>
            <w:tcMar>
              <w:bottom w:w="28" w:type="dxa"/>
            </w:tcMar>
          </w:tcPr>
          <w:p>
            <w:pPr>
              <w:pStyle w:val="TableContents"/>
              <w:bidi w:val="0"/>
              <w:spacing w:before="0" w:after="283"/>
              <w:jc w:val="center"/>
              <w:rPr/>
            </w:pPr>
            <w:r>
              <w:rPr/>
              <w:t>6</w:t>
            </w:r>
          </w:p>
        </w:tc>
        <w:tc>
          <w:tcPr>
            <w:tcW w:w="140" w:type="dxa"/>
            <w:tcBorders>
              <w:bottom w:val="single" w:sz="2" w:space="0" w:color="000000"/>
            </w:tcBorders>
            <w:shd w:fill="CCEEFF" w:val="clear"/>
            <w:tcMar>
              <w:bottom w:w="28" w:type="dxa"/>
            </w:tcMar>
          </w:tcPr>
          <w:p>
            <w:pPr>
              <w:pStyle w:val="TableContents"/>
              <w:bidi w:val="0"/>
              <w:spacing w:before="0" w:after="283"/>
              <w:jc w:val="left"/>
              <w:rPr/>
            </w:pPr>
            <w:r>
              <w:rPr/>
              <w:t> </w:t>
            </w:r>
          </w:p>
        </w:tc>
      </w:tr>
      <w:tr>
        <w:trPr>
          <w:trHeight w:val="90" w:hRule="atLeast"/>
        </w:trPr>
        <w:tc>
          <w:tcPr>
            <w:tcW w:w="405" w:type="dxa"/>
            <w:tcBorders>
              <w:right w:val="single" w:sz="2" w:space="0" w:color="00000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350"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921" w:type="dxa"/>
            <w:gridSpan w:val="4"/>
            <w:tcBorders/>
            <w:vAlign w:val="center"/>
          </w:tcPr>
          <w:p>
            <w:pPr>
              <w:pStyle w:val="TableContents"/>
              <w:bidi w:val="0"/>
              <w:spacing w:before="0" w:after="283"/>
              <w:jc w:val="left"/>
              <w:rPr>
                <w:sz w:val="4"/>
                <w:szCs w:val="4"/>
              </w:rPr>
            </w:pPr>
            <w:r>
              <w:rPr>
                <w:sz w:val="4"/>
                <w:szCs w:val="4"/>
              </w:rPr>
            </w:r>
          </w:p>
        </w:tc>
      </w:tr>
      <w:tr>
        <w:trPr/>
        <w:tc>
          <w:tcPr>
            <w:tcW w:w="40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drawing>
                <wp:inline distT="0" distB="0" distL="0" distR="0">
                  <wp:extent cx="133985" cy="5645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985" cy="564515"/>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1909" w:type="dxa"/>
            <w:tcBorders/>
          </w:tcPr>
          <w:p>
            <w:pPr>
              <w:pStyle w:val="TableContents"/>
              <w:bidi w:val="0"/>
              <w:spacing w:before="0" w:after="283"/>
              <w:jc w:val="left"/>
              <w:rPr/>
            </w:pPr>
            <w:r>
              <w:rPr/>
              <w:t>HOSMAX 280</w:t>
            </w:r>
          </w:p>
        </w:tc>
        <w:tc>
          <w:tcPr>
            <w:tcW w:w="185" w:type="dxa"/>
            <w:tcBorders/>
            <w:vAlign w:val="bottom"/>
          </w:tcPr>
          <w:p>
            <w:pPr>
              <w:pStyle w:val="TableContents"/>
              <w:bidi w:val="0"/>
              <w:spacing w:before="0" w:after="283"/>
              <w:jc w:val="left"/>
              <w:rPr/>
            </w:pPr>
            <w:r>
              <w:rPr/>
              <w:t>  </w:t>
            </w:r>
          </w:p>
        </w:tc>
        <w:tc>
          <w:tcPr>
            <w:tcW w:w="85" w:type="dxa"/>
            <w:tcBorders/>
          </w:tcPr>
          <w:p>
            <w:pPr>
              <w:pStyle w:val="TableContents"/>
              <w:bidi w:val="0"/>
              <w:spacing w:before="0" w:after="283"/>
              <w:jc w:val="left"/>
              <w:rPr/>
            </w:pPr>
            <w:r>
              <w:rPr/>
              <w:t> </w:t>
            </w:r>
          </w:p>
        </w:tc>
        <w:tc>
          <w:tcPr>
            <w:tcW w:w="370" w:type="dxa"/>
            <w:tcBorders/>
          </w:tcPr>
          <w:p>
            <w:pPr>
              <w:pStyle w:val="TableContents"/>
              <w:bidi w:val="0"/>
              <w:spacing w:before="0" w:after="283"/>
              <w:jc w:val="center"/>
              <w:rPr/>
            </w:pPr>
            <w:r>
              <w:rPr/>
              <w:t>12</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623" w:type="dxa"/>
            <w:tcBorders/>
          </w:tcPr>
          <w:p>
            <w:pPr>
              <w:pStyle w:val="TableContents"/>
              <w:bidi w:val="0"/>
              <w:spacing w:before="0" w:after="283"/>
              <w:jc w:val="center"/>
              <w:rPr/>
            </w:pPr>
            <w:r>
              <w:rPr/>
              <w:t>1</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w:t>
            </w:r>
          </w:p>
        </w:tc>
        <w:tc>
          <w:tcPr>
            <w:tcW w:w="60" w:type="dxa"/>
            <w:tcBorders/>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31" w:type="dxa"/>
            <w:tcBorders/>
          </w:tcPr>
          <w:p>
            <w:pPr>
              <w:pStyle w:val="TableContents"/>
              <w:bidi w:val="0"/>
              <w:spacing w:before="0" w:after="283"/>
              <w:jc w:val="center"/>
              <w:rPr/>
            </w:pPr>
            <w:r>
              <w:rPr/>
              <w:t>1</w:t>
            </w:r>
          </w:p>
        </w:tc>
        <w:tc>
          <w:tcPr>
            <w:tcW w:w="104"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90" w:type="dxa"/>
            <w:tcBorders/>
          </w:tcPr>
          <w:p>
            <w:pPr>
              <w:pStyle w:val="TableContents"/>
              <w:bidi w:val="0"/>
              <w:spacing w:before="0" w:after="283"/>
              <w:jc w:val="center"/>
              <w:rPr/>
            </w:pPr>
            <w:r>
              <w:rPr/>
              <w:t>4,660</w:t>
            </w:r>
          </w:p>
        </w:tc>
        <w:tc>
          <w:tcPr>
            <w:tcW w:w="129"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tcPr>
          <w:p>
            <w:pPr>
              <w:pStyle w:val="TableContents"/>
              <w:bidi w:val="0"/>
              <w:spacing w:before="0" w:after="283"/>
              <w:jc w:val="left"/>
              <w:rPr/>
            </w:pPr>
            <w:r>
              <w:rPr/>
              <w:t> </w:t>
            </w:r>
          </w:p>
        </w:tc>
        <w:tc>
          <w:tcPr>
            <w:tcW w:w="1221" w:type="dxa"/>
            <w:tcBorders/>
          </w:tcPr>
          <w:p>
            <w:pPr>
              <w:pStyle w:val="TableContents"/>
              <w:bidi w:val="0"/>
              <w:spacing w:before="0" w:after="283"/>
              <w:jc w:val="center"/>
              <w:rPr/>
            </w:pPr>
            <w:r>
              <w:rPr/>
              <w:t>14</w:t>
            </w:r>
          </w:p>
        </w:tc>
        <w:tc>
          <w:tcPr>
            <w:tcW w:w="140" w:type="dxa"/>
            <w:tcBorders/>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shd w:fill="CCEEFF" w:val="clear"/>
            <w:vAlign w:val="bottom"/>
          </w:tcPr>
          <w:p>
            <w:pPr>
              <w:pStyle w:val="TableContents"/>
              <w:bidi w:val="0"/>
              <w:spacing w:before="0" w:after="283"/>
              <w:jc w:val="left"/>
              <w:rPr/>
            </w:pPr>
            <w:r>
              <w:rPr/>
              <w:t> </w:t>
            </w:r>
          </w:p>
        </w:tc>
        <w:tc>
          <w:tcPr>
            <w:tcW w:w="1909" w:type="dxa"/>
            <w:tcBorders/>
            <w:shd w:fill="CCEEFF" w:val="clear"/>
          </w:tcPr>
          <w:p>
            <w:pPr>
              <w:pStyle w:val="TableContents"/>
              <w:bidi w:val="0"/>
              <w:spacing w:before="0" w:after="283"/>
              <w:jc w:val="left"/>
              <w:rPr/>
            </w:pPr>
            <w:r>
              <w:rPr/>
              <w:t>HOS 270</w:t>
            </w:r>
          </w:p>
        </w:tc>
        <w:tc>
          <w:tcPr>
            <w:tcW w:w="185" w:type="dxa"/>
            <w:tcBorders/>
            <w:shd w:fill="CCEEFF" w:val="clear"/>
            <w:vAlign w:val="bottom"/>
          </w:tcPr>
          <w:p>
            <w:pPr>
              <w:pStyle w:val="TableContents"/>
              <w:bidi w:val="0"/>
              <w:spacing w:before="0" w:after="283"/>
              <w:jc w:val="left"/>
              <w:rPr/>
            </w:pPr>
            <w:r>
              <w:rPr/>
              <w:t>  </w:t>
            </w:r>
          </w:p>
        </w:tc>
        <w:tc>
          <w:tcPr>
            <w:tcW w:w="85" w:type="dxa"/>
            <w:tcBorders/>
            <w:shd w:fill="CCEEFF" w:val="clear"/>
          </w:tcPr>
          <w:p>
            <w:pPr>
              <w:pStyle w:val="TableContents"/>
              <w:bidi w:val="0"/>
              <w:spacing w:before="0" w:after="283"/>
              <w:jc w:val="left"/>
              <w:rPr/>
            </w:pPr>
            <w:r>
              <w:rPr/>
              <w:t> </w:t>
            </w:r>
          </w:p>
        </w:tc>
        <w:tc>
          <w:tcPr>
            <w:tcW w:w="370"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pPr>
            <w:r>
              <w:rPr/>
              <w:t> </w:t>
            </w:r>
          </w:p>
        </w:tc>
        <w:tc>
          <w:tcPr>
            <w:tcW w:w="623" w:type="dxa"/>
            <w:tcBorders/>
            <w:shd w:fill="CCEEFF" w:val="clear"/>
          </w:tcPr>
          <w:p>
            <w:pPr>
              <w:pStyle w:val="TableContents"/>
              <w:bidi w:val="0"/>
              <w:spacing w:before="0" w:after="283"/>
              <w:jc w:val="center"/>
              <w:rPr/>
            </w:pPr>
            <w:r>
              <w:rPr/>
              <w:t>2</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pPr>
            <w:r>
              <w:rPr/>
              <w:t> </w:t>
            </w:r>
          </w:p>
        </w:tc>
        <w:tc>
          <w:tcPr>
            <w:tcW w:w="772"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pPr>
            <w:r>
              <w:rPr/>
              <w:t> </w:t>
            </w:r>
          </w:p>
        </w:tc>
        <w:tc>
          <w:tcPr>
            <w:tcW w:w="531" w:type="dxa"/>
            <w:tcBorders/>
            <w:shd w:fill="CCEEFF" w:val="clear"/>
          </w:tcPr>
          <w:p>
            <w:pPr>
              <w:pStyle w:val="TableContents"/>
              <w:bidi w:val="0"/>
              <w:spacing w:before="0" w:after="283"/>
              <w:jc w:val="center"/>
              <w:rPr/>
            </w:pPr>
            <w:r>
              <w:rPr/>
              <w:t>—</w:t>
            </w:r>
          </w:p>
        </w:tc>
        <w:tc>
          <w:tcPr>
            <w:tcW w:w="104"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tcPr>
          <w:p>
            <w:pPr>
              <w:pStyle w:val="TableContents"/>
              <w:bidi w:val="0"/>
              <w:spacing w:before="0" w:after="283"/>
              <w:jc w:val="left"/>
              <w:rPr/>
            </w:pPr>
            <w:r>
              <w:rPr/>
              <w:t> </w:t>
            </w:r>
          </w:p>
        </w:tc>
        <w:tc>
          <w:tcPr>
            <w:tcW w:w="990" w:type="dxa"/>
            <w:tcBorders/>
            <w:shd w:fill="CCEEFF" w:val="clear"/>
          </w:tcPr>
          <w:p>
            <w:pPr>
              <w:pStyle w:val="TableContents"/>
              <w:bidi w:val="0"/>
              <w:spacing w:before="0" w:after="283"/>
              <w:jc w:val="center"/>
              <w:rPr/>
            </w:pPr>
            <w:r>
              <w:rPr/>
              <w:t>3,803</w:t>
            </w:r>
          </w:p>
        </w:tc>
        <w:tc>
          <w:tcPr>
            <w:tcW w:w="129"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center"/>
              <w:rPr/>
            </w:pPr>
            <w:r>
              <w:rPr/>
              <w:t>2</w:t>
            </w:r>
          </w:p>
        </w:tc>
        <w:tc>
          <w:tcPr>
            <w:tcW w:w="140" w:type="dxa"/>
            <w:tcBorders/>
            <w:shd w:fill="CCEEFF" w:val="clear"/>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1909" w:type="dxa"/>
            <w:tcBorders>
              <w:bottom w:val="single" w:sz="2" w:space="0" w:color="000000"/>
            </w:tcBorders>
            <w:tcMar>
              <w:bottom w:w="28" w:type="dxa"/>
            </w:tcMar>
          </w:tcPr>
          <w:p>
            <w:pPr>
              <w:pStyle w:val="TableContents"/>
              <w:bidi w:val="0"/>
              <w:spacing w:before="0" w:after="283"/>
              <w:jc w:val="left"/>
              <w:rPr/>
            </w:pPr>
            <w:r>
              <w:rPr/>
              <w:t>HOS 265</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tcMar>
              <w:bottom w:w="28" w:type="dxa"/>
            </w:tcMar>
          </w:tcPr>
          <w:p>
            <w:pPr>
              <w:pStyle w:val="TableContents"/>
              <w:bidi w:val="0"/>
              <w:spacing w:before="0" w:after="283"/>
              <w:jc w:val="left"/>
              <w:rPr/>
            </w:pPr>
            <w:r>
              <w:rPr/>
              <w:t> </w:t>
            </w:r>
          </w:p>
        </w:tc>
        <w:tc>
          <w:tcPr>
            <w:tcW w:w="370" w:type="dxa"/>
            <w:tcBorders>
              <w:bottom w:val="single" w:sz="2" w:space="0" w:color="000000"/>
            </w:tcBorders>
            <w:tcMar>
              <w:bottom w:w="28" w:type="dxa"/>
            </w:tcMar>
          </w:tcPr>
          <w:p>
            <w:pPr>
              <w:pStyle w:val="TableContents"/>
              <w:bidi w:val="0"/>
              <w:spacing w:before="0" w:after="283"/>
              <w:jc w:val="center"/>
              <w:rPr/>
            </w:pPr>
            <w:r>
              <w:rPr/>
              <w:t>2</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tcPr>
          <w:p>
            <w:pPr>
              <w:pStyle w:val="TableContents"/>
              <w:bidi w:val="0"/>
              <w:spacing w:before="0" w:after="283"/>
              <w:jc w:val="left"/>
              <w:rPr/>
            </w:pPr>
            <w:r>
              <w:rPr/>
              <w:t> </w:t>
            </w:r>
          </w:p>
        </w:tc>
        <w:tc>
          <w:tcPr>
            <w:tcW w:w="623" w:type="dxa"/>
            <w:tcBorders>
              <w:bottom w:val="single" w:sz="2" w:space="0" w:color="000000"/>
            </w:tcBorders>
            <w:tcMar>
              <w:bottom w:w="28" w:type="dxa"/>
            </w:tcMar>
          </w:tcPr>
          <w:p>
            <w:pPr>
              <w:pStyle w:val="TableContents"/>
              <w:bidi w:val="0"/>
              <w:spacing w:before="0" w:after="283"/>
              <w:jc w:val="center"/>
              <w:rPr/>
            </w:pPr>
            <w:r>
              <w:rPr/>
              <w:t>—</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tcMar>
              <w:bottom w:w="28" w:type="dxa"/>
            </w:tcMar>
          </w:tcPr>
          <w:p>
            <w:pPr>
              <w:pStyle w:val="TableContents"/>
              <w:bidi w:val="0"/>
              <w:spacing w:before="0" w:after="283"/>
              <w:jc w:val="left"/>
              <w:rPr/>
            </w:pPr>
            <w:r>
              <w:rPr/>
              <w:t> </w:t>
            </w:r>
          </w:p>
        </w:tc>
        <w:tc>
          <w:tcPr>
            <w:tcW w:w="772" w:type="dxa"/>
            <w:tcBorders>
              <w:bottom w:val="single" w:sz="2" w:space="0" w:color="000000"/>
            </w:tcBorders>
            <w:tcMar>
              <w:bottom w:w="28" w:type="dxa"/>
            </w:tcMar>
          </w:tcPr>
          <w:p>
            <w:pPr>
              <w:pStyle w:val="TableContents"/>
              <w:bidi w:val="0"/>
              <w:spacing w:before="0" w:after="283"/>
              <w:jc w:val="center"/>
              <w:rPr/>
            </w:pPr>
            <w:r>
              <w:rPr/>
              <w:t>—</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297"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28" w:type="dxa"/>
            </w:tcMar>
          </w:tcPr>
          <w:p>
            <w:pPr>
              <w:pStyle w:val="TableContents"/>
              <w:bidi w:val="0"/>
              <w:spacing w:before="0" w:after="283"/>
              <w:jc w:val="left"/>
              <w:rPr/>
            </w:pPr>
            <w:r>
              <w:rPr/>
              <w:t> </w:t>
            </w:r>
          </w:p>
        </w:tc>
        <w:tc>
          <w:tcPr>
            <w:tcW w:w="531" w:type="dxa"/>
            <w:tcBorders>
              <w:bottom w:val="single" w:sz="2" w:space="0" w:color="000000"/>
            </w:tcBorders>
            <w:tcMar>
              <w:bottom w:w="28" w:type="dxa"/>
            </w:tcMar>
          </w:tcPr>
          <w:p>
            <w:pPr>
              <w:pStyle w:val="TableContents"/>
              <w:bidi w:val="0"/>
              <w:spacing w:before="0" w:after="283"/>
              <w:jc w:val="center"/>
              <w:rPr/>
            </w:pPr>
            <w:r>
              <w:rPr/>
              <w:t>—</w:t>
            </w:r>
          </w:p>
        </w:tc>
        <w:tc>
          <w:tcPr>
            <w:tcW w:w="104"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tcMar>
              <w:bottom w:w="28" w:type="dxa"/>
            </w:tcMar>
          </w:tcPr>
          <w:p>
            <w:pPr>
              <w:pStyle w:val="TableContents"/>
              <w:bidi w:val="0"/>
              <w:spacing w:before="0" w:after="283"/>
              <w:jc w:val="left"/>
              <w:rPr/>
            </w:pPr>
            <w:r>
              <w:rPr/>
              <w:t> </w:t>
            </w:r>
          </w:p>
        </w:tc>
        <w:tc>
          <w:tcPr>
            <w:tcW w:w="990" w:type="dxa"/>
            <w:tcBorders>
              <w:bottom w:val="single" w:sz="2" w:space="0" w:color="000000"/>
            </w:tcBorders>
            <w:tcMar>
              <w:bottom w:w="28" w:type="dxa"/>
            </w:tcMar>
          </w:tcPr>
          <w:p>
            <w:pPr>
              <w:pStyle w:val="TableContents"/>
              <w:bidi w:val="0"/>
              <w:spacing w:before="0" w:after="283"/>
              <w:jc w:val="center"/>
              <w:rPr/>
            </w:pPr>
            <w:r>
              <w:rPr/>
              <w:t>3,687</w:t>
            </w:r>
          </w:p>
        </w:tc>
        <w:tc>
          <w:tcPr>
            <w:tcW w:w="129"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tcMar>
              <w:bottom w:w="28" w:type="dxa"/>
            </w:tcMar>
          </w:tcPr>
          <w:p>
            <w:pPr>
              <w:pStyle w:val="TableContents"/>
              <w:bidi w:val="0"/>
              <w:spacing w:before="0" w:after="283"/>
              <w:jc w:val="left"/>
              <w:rPr/>
            </w:pPr>
            <w:r>
              <w:rPr/>
              <w:t> </w:t>
            </w:r>
          </w:p>
        </w:tc>
        <w:tc>
          <w:tcPr>
            <w:tcW w:w="1221" w:type="dxa"/>
            <w:tcBorders>
              <w:bottom w:val="single" w:sz="2" w:space="0" w:color="000000"/>
            </w:tcBorders>
            <w:tcMar>
              <w:bottom w:w="28" w:type="dxa"/>
            </w:tcMar>
          </w:tcPr>
          <w:p>
            <w:pPr>
              <w:pStyle w:val="TableContents"/>
              <w:bidi w:val="0"/>
              <w:spacing w:before="0" w:after="283"/>
              <w:jc w:val="center"/>
              <w:rPr/>
            </w:pPr>
            <w:r>
              <w:rPr/>
              <w:t>2</w:t>
            </w:r>
          </w:p>
        </w:tc>
        <w:tc>
          <w:tcPr>
            <w:tcW w:w="140" w:type="dxa"/>
            <w:tcBorders>
              <w:bottom w:val="single" w:sz="2" w:space="0" w:color="000000"/>
            </w:tcBorders>
            <w:tcMar>
              <w:bottom w:w="28" w:type="dxa"/>
            </w:tcMar>
          </w:tcPr>
          <w:p>
            <w:pPr>
              <w:pStyle w:val="TableContents"/>
              <w:bidi w:val="0"/>
              <w:spacing w:before="0" w:after="283"/>
              <w:jc w:val="left"/>
              <w:rPr/>
            </w:pPr>
            <w:r>
              <w:rPr/>
              <w:t> </w:t>
            </w:r>
          </w:p>
        </w:tc>
      </w:tr>
      <w:tr>
        <w:trPr/>
        <w:tc>
          <w:tcPr>
            <w:tcW w:w="405"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drawing>
                <wp:inline distT="0" distB="0" distL="0" distR="0">
                  <wp:extent cx="176530" cy="4108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6530" cy="410845"/>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190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sz w:val="4"/>
                <w:szCs w:val="4"/>
              </w:rPr>
            </w:pPr>
            <w:r>
              <w:rPr>
                <w:sz w:val="4"/>
                <w:szCs w:val="4"/>
              </w:rPr>
            </w:r>
          </w:p>
        </w:tc>
        <w:tc>
          <w:tcPr>
            <w:tcW w:w="7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53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99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4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shd w:fill="CCEEFF" w:val="clear"/>
            <w:vAlign w:val="bottom"/>
          </w:tcPr>
          <w:p>
            <w:pPr>
              <w:pStyle w:val="TableContents"/>
              <w:bidi w:val="0"/>
              <w:spacing w:before="0" w:after="283"/>
              <w:jc w:val="left"/>
              <w:rPr/>
            </w:pPr>
            <w:r>
              <w:rPr/>
              <w:t> </w:t>
            </w:r>
          </w:p>
        </w:tc>
        <w:tc>
          <w:tcPr>
            <w:tcW w:w="1909" w:type="dxa"/>
            <w:tcBorders/>
            <w:shd w:fill="CCEEFF" w:val="clear"/>
          </w:tcPr>
          <w:p>
            <w:pPr>
              <w:pStyle w:val="TableContents"/>
              <w:bidi w:val="0"/>
              <w:spacing w:before="0" w:after="283"/>
              <w:jc w:val="left"/>
              <w:rPr/>
            </w:pPr>
            <w:r>
              <w:rPr/>
              <w:t>HOS 250</w:t>
            </w:r>
          </w:p>
        </w:tc>
        <w:tc>
          <w:tcPr>
            <w:tcW w:w="185" w:type="dxa"/>
            <w:tcBorders/>
            <w:shd w:fill="CCEEFF" w:val="clear"/>
            <w:vAlign w:val="bottom"/>
          </w:tcPr>
          <w:p>
            <w:pPr>
              <w:pStyle w:val="TableContents"/>
              <w:bidi w:val="0"/>
              <w:spacing w:before="0" w:after="283"/>
              <w:jc w:val="left"/>
              <w:rPr/>
            </w:pPr>
            <w:r>
              <w:rPr/>
              <w:t>  </w:t>
            </w:r>
          </w:p>
        </w:tc>
        <w:tc>
          <w:tcPr>
            <w:tcW w:w="85" w:type="dxa"/>
            <w:tcBorders/>
            <w:shd w:fill="CCEEFF" w:val="clear"/>
          </w:tcPr>
          <w:p>
            <w:pPr>
              <w:pStyle w:val="TableContents"/>
              <w:bidi w:val="0"/>
              <w:spacing w:before="0" w:after="283"/>
              <w:jc w:val="left"/>
              <w:rPr/>
            </w:pPr>
            <w:r>
              <w:rPr/>
              <w:t> </w:t>
            </w:r>
          </w:p>
        </w:tc>
        <w:tc>
          <w:tcPr>
            <w:tcW w:w="370" w:type="dxa"/>
            <w:tcBorders/>
            <w:shd w:fill="CCEEFF" w:val="clear"/>
          </w:tcPr>
          <w:p>
            <w:pPr>
              <w:pStyle w:val="TableContents"/>
              <w:bidi w:val="0"/>
              <w:spacing w:before="0" w:after="283"/>
              <w:jc w:val="center"/>
              <w:rPr/>
            </w:pPr>
            <w:r>
              <w:rPr/>
              <w:t>3</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pPr>
            <w:r>
              <w:rPr/>
              <w:t> </w:t>
            </w:r>
          </w:p>
        </w:tc>
        <w:tc>
          <w:tcPr>
            <w:tcW w:w="623"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pPr>
            <w:r>
              <w:rPr/>
              <w:t> </w:t>
            </w:r>
          </w:p>
        </w:tc>
        <w:tc>
          <w:tcPr>
            <w:tcW w:w="772" w:type="dxa"/>
            <w:tcBorders/>
            <w:shd w:fill="CCEEFF" w:val="clear"/>
          </w:tcPr>
          <w:p>
            <w:pPr>
              <w:pStyle w:val="TableContents"/>
              <w:bidi w:val="0"/>
              <w:spacing w:before="0" w:after="283"/>
              <w:jc w:val="center"/>
              <w:rPr/>
            </w:pPr>
            <w:r>
              <w:rPr/>
              <w:t>—</w:t>
            </w:r>
          </w:p>
        </w:tc>
        <w:tc>
          <w:tcPr>
            <w:tcW w:w="60" w:type="dxa"/>
            <w:tcBorders/>
            <w:shd w:fill="CCEEFF" w:val="clear"/>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19" w:type="dxa"/>
            <w:tcBorders/>
            <w:shd w:fill="CCEEFF" w:val="clear"/>
          </w:tcPr>
          <w:p>
            <w:pPr>
              <w:pStyle w:val="TableContents"/>
              <w:bidi w:val="0"/>
              <w:spacing w:before="0" w:after="283"/>
              <w:jc w:val="left"/>
              <w:rPr/>
            </w:pPr>
            <w:r>
              <w:rPr/>
              <w:t> </w:t>
            </w:r>
          </w:p>
        </w:tc>
        <w:tc>
          <w:tcPr>
            <w:tcW w:w="531" w:type="dxa"/>
            <w:tcBorders/>
            <w:shd w:fill="CCEEFF" w:val="clear"/>
          </w:tcPr>
          <w:p>
            <w:pPr>
              <w:pStyle w:val="TableContents"/>
              <w:bidi w:val="0"/>
              <w:spacing w:before="0" w:after="283"/>
              <w:jc w:val="center"/>
              <w:rPr/>
            </w:pPr>
            <w:r>
              <w:rPr/>
              <w:t>—</w:t>
            </w:r>
          </w:p>
        </w:tc>
        <w:tc>
          <w:tcPr>
            <w:tcW w:w="104"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105" w:type="dxa"/>
            <w:tcBorders/>
            <w:shd w:fill="CCEEFF" w:val="clear"/>
          </w:tcPr>
          <w:p>
            <w:pPr>
              <w:pStyle w:val="TableContents"/>
              <w:bidi w:val="0"/>
              <w:spacing w:before="0" w:after="283"/>
              <w:jc w:val="left"/>
              <w:rPr/>
            </w:pPr>
            <w:r>
              <w:rPr/>
              <w:t> </w:t>
            </w:r>
          </w:p>
        </w:tc>
        <w:tc>
          <w:tcPr>
            <w:tcW w:w="990" w:type="dxa"/>
            <w:tcBorders/>
            <w:shd w:fill="CCEEFF" w:val="clear"/>
          </w:tcPr>
          <w:p>
            <w:pPr>
              <w:pStyle w:val="TableContents"/>
              <w:bidi w:val="0"/>
              <w:spacing w:before="0" w:after="283"/>
              <w:jc w:val="center"/>
              <w:rPr/>
            </w:pPr>
            <w:r>
              <w:rPr/>
              <w:t>2,713</w:t>
            </w:r>
          </w:p>
        </w:tc>
        <w:tc>
          <w:tcPr>
            <w:tcW w:w="129" w:type="dxa"/>
            <w:tcBorders/>
            <w:shd w:fill="CCEEFF" w:val="clear"/>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14" w:type="dxa"/>
            <w:tcBorders/>
            <w:shd w:fill="CCEEFF" w:val="clear"/>
          </w:tcPr>
          <w:p>
            <w:pPr>
              <w:pStyle w:val="TableContents"/>
              <w:bidi w:val="0"/>
              <w:spacing w:before="0" w:after="283"/>
              <w:jc w:val="left"/>
              <w:rPr/>
            </w:pPr>
            <w:r>
              <w:rPr/>
              <w:t> </w:t>
            </w:r>
          </w:p>
        </w:tc>
        <w:tc>
          <w:tcPr>
            <w:tcW w:w="1221" w:type="dxa"/>
            <w:tcBorders/>
            <w:shd w:fill="CCEEFF" w:val="clear"/>
          </w:tcPr>
          <w:p>
            <w:pPr>
              <w:pStyle w:val="TableContents"/>
              <w:bidi w:val="0"/>
              <w:spacing w:before="0" w:after="283"/>
              <w:jc w:val="center"/>
              <w:rPr/>
            </w:pPr>
            <w:r>
              <w:rPr/>
              <w:t>3</w:t>
            </w:r>
          </w:p>
        </w:tc>
        <w:tc>
          <w:tcPr>
            <w:tcW w:w="140" w:type="dxa"/>
            <w:tcBorders/>
            <w:shd w:fill="CCEEFF" w:val="clear"/>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29" w:type="dxa"/>
            <w:tcBorders/>
            <w:vAlign w:val="bottom"/>
          </w:tcPr>
          <w:p>
            <w:pPr>
              <w:pStyle w:val="TableContents"/>
              <w:bidi w:val="0"/>
              <w:spacing w:before="0" w:after="283"/>
              <w:jc w:val="left"/>
              <w:rPr/>
            </w:pPr>
            <w:r>
              <w:rPr/>
              <w:t> </w:t>
            </w:r>
          </w:p>
        </w:tc>
        <w:tc>
          <w:tcPr>
            <w:tcW w:w="1909" w:type="dxa"/>
            <w:tcBorders/>
            <w:vAlign w:val="center"/>
          </w:tcPr>
          <w:p>
            <w:pPr>
              <w:pStyle w:val="TableContents"/>
              <w:bidi w:val="0"/>
              <w:spacing w:before="0" w:after="283"/>
              <w:jc w:val="left"/>
              <w:rPr/>
            </w:pPr>
            <w:r>
              <w:rPr/>
              <w:t>HOS 240</w:t>
            </w:r>
          </w:p>
        </w:tc>
        <w:tc>
          <w:tcPr>
            <w:tcW w:w="185" w:type="dxa"/>
            <w:tcBorders/>
            <w:vAlign w:val="bottom"/>
          </w:tcPr>
          <w:p>
            <w:pPr>
              <w:pStyle w:val="TableContents"/>
              <w:bidi w:val="0"/>
              <w:spacing w:before="0" w:after="283"/>
              <w:jc w:val="left"/>
              <w:rPr/>
            </w:pPr>
            <w:r>
              <w:rPr/>
              <w:t>  </w:t>
            </w:r>
          </w:p>
        </w:tc>
        <w:tc>
          <w:tcPr>
            <w:tcW w:w="85" w:type="dxa"/>
            <w:tcBorders/>
          </w:tcPr>
          <w:p>
            <w:pPr>
              <w:pStyle w:val="TableContents"/>
              <w:bidi w:val="0"/>
              <w:spacing w:before="0" w:after="283"/>
              <w:jc w:val="left"/>
              <w:rPr/>
            </w:pPr>
            <w:r>
              <w:rPr/>
              <w:t> </w:t>
            </w:r>
          </w:p>
        </w:tc>
        <w:tc>
          <w:tcPr>
            <w:tcW w:w="370" w:type="dxa"/>
            <w:tcBorders/>
          </w:tcPr>
          <w:p>
            <w:pPr>
              <w:pStyle w:val="TableContents"/>
              <w:bidi w:val="0"/>
              <w:spacing w:before="0" w:after="283"/>
              <w:jc w:val="center"/>
              <w:rPr/>
            </w:pPr>
            <w:r>
              <w:rPr/>
              <w:t>12</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623" w:type="dxa"/>
            <w:tcBorders/>
          </w:tcPr>
          <w:p>
            <w:pPr>
              <w:pStyle w:val="TableContents"/>
              <w:bidi w:val="0"/>
              <w:spacing w:before="0" w:after="283"/>
              <w:jc w:val="center"/>
              <w:rPr/>
            </w:pPr>
            <w:r>
              <w:rPr/>
              <w:t>2</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772" w:type="dxa"/>
            <w:tcBorders/>
          </w:tcPr>
          <w:p>
            <w:pPr>
              <w:pStyle w:val="TableContents"/>
              <w:bidi w:val="0"/>
              <w:spacing w:before="0" w:after="283"/>
              <w:jc w:val="center"/>
              <w:rPr/>
            </w:pPr>
            <w:r>
              <w:rPr/>
              <w:t>—</w:t>
            </w:r>
          </w:p>
        </w:tc>
        <w:tc>
          <w:tcPr>
            <w:tcW w:w="60" w:type="dxa"/>
            <w:tcBorders/>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31" w:type="dxa"/>
            <w:tcBorders/>
          </w:tcPr>
          <w:p>
            <w:pPr>
              <w:pStyle w:val="TableContents"/>
              <w:bidi w:val="0"/>
              <w:spacing w:before="0" w:after="283"/>
              <w:jc w:val="center"/>
              <w:rPr/>
            </w:pPr>
            <w:r>
              <w:rPr/>
              <w:t>—</w:t>
            </w:r>
          </w:p>
        </w:tc>
        <w:tc>
          <w:tcPr>
            <w:tcW w:w="104"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90" w:type="dxa"/>
            <w:tcBorders/>
          </w:tcPr>
          <w:p>
            <w:pPr>
              <w:pStyle w:val="TableContents"/>
              <w:bidi w:val="0"/>
              <w:spacing w:before="0" w:after="283"/>
              <w:jc w:val="center"/>
              <w:rPr/>
            </w:pPr>
            <w:r>
              <w:rPr/>
              <w:t>2,712</w:t>
            </w:r>
          </w:p>
        </w:tc>
        <w:tc>
          <w:tcPr>
            <w:tcW w:w="129"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tcPr>
          <w:p>
            <w:pPr>
              <w:pStyle w:val="TableContents"/>
              <w:bidi w:val="0"/>
              <w:spacing w:before="0" w:after="283"/>
              <w:jc w:val="left"/>
              <w:rPr/>
            </w:pPr>
            <w:r>
              <w:rPr/>
              <w:t> </w:t>
            </w:r>
          </w:p>
        </w:tc>
        <w:tc>
          <w:tcPr>
            <w:tcW w:w="1221" w:type="dxa"/>
            <w:tcBorders/>
          </w:tcPr>
          <w:p>
            <w:pPr>
              <w:pStyle w:val="TableContents"/>
              <w:bidi w:val="0"/>
              <w:spacing w:before="0" w:after="283"/>
              <w:jc w:val="center"/>
              <w:rPr/>
            </w:pPr>
            <w:r>
              <w:rPr/>
              <w:t>14</w:t>
            </w:r>
          </w:p>
        </w:tc>
        <w:tc>
          <w:tcPr>
            <w:tcW w:w="140" w:type="dxa"/>
            <w:tcBorders/>
          </w:tcPr>
          <w:p>
            <w:pPr>
              <w:pStyle w:val="TableContents"/>
              <w:bidi w:val="0"/>
              <w:spacing w:before="0" w:after="283"/>
              <w:jc w:val="left"/>
              <w:rPr/>
            </w:pPr>
            <w:r>
              <w:rPr/>
              <w:t> </w:t>
            </w:r>
          </w:p>
        </w:tc>
      </w:tr>
      <w:tr>
        <w:trPr/>
        <w:tc>
          <w:tcPr>
            <w:tcW w:w="405"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2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09" w:type="dxa"/>
            <w:tcBorders>
              <w:bottom w:val="single" w:sz="2" w:space="0" w:color="000000"/>
            </w:tcBorders>
            <w:shd w:fill="CCEEFF" w:val="clear"/>
            <w:tcMar>
              <w:bottom w:w="28" w:type="dxa"/>
            </w:tcMar>
          </w:tcPr>
          <w:p>
            <w:pPr>
              <w:pStyle w:val="TableContents"/>
              <w:bidi w:val="0"/>
              <w:spacing w:before="0" w:after="283"/>
              <w:jc w:val="left"/>
              <w:rPr/>
            </w:pPr>
            <w:r>
              <w:rPr/>
              <w:t>HOS 200</w:t>
            </w:r>
          </w:p>
        </w:tc>
        <w:tc>
          <w:tcPr>
            <w:tcW w:w="18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70"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623"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tcPr>
          <w:p>
            <w:pPr>
              <w:pStyle w:val="TableContents"/>
              <w:bidi w:val="0"/>
              <w:spacing w:before="0" w:after="283"/>
              <w:jc w:val="center"/>
              <w:rPr/>
            </w:pPr>
            <w:r>
              <w:rPr/>
              <w:t>2</w:t>
            </w:r>
          </w:p>
        </w:tc>
        <w:tc>
          <w:tcPr>
            <w:tcW w:w="6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531"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04"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990" w:type="dxa"/>
            <w:tcBorders>
              <w:bottom w:val="single" w:sz="2" w:space="0" w:color="000000"/>
            </w:tcBorders>
            <w:shd w:fill="CCEEFF" w:val="clear"/>
            <w:tcMar>
              <w:bottom w:w="28" w:type="dxa"/>
            </w:tcMar>
          </w:tcPr>
          <w:p>
            <w:pPr>
              <w:pStyle w:val="TableContents"/>
              <w:bidi w:val="0"/>
              <w:spacing w:before="0" w:after="283"/>
              <w:jc w:val="center"/>
              <w:rPr/>
            </w:pPr>
            <w:r>
              <w:rPr/>
              <w:t>1,729</w:t>
            </w:r>
          </w:p>
        </w:tc>
        <w:tc>
          <w:tcPr>
            <w:tcW w:w="129"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1221" w:type="dxa"/>
            <w:tcBorders>
              <w:bottom w:val="single" w:sz="2" w:space="0" w:color="000000"/>
            </w:tcBorders>
            <w:shd w:fill="CCEEFF" w:val="clear"/>
            <w:tcMar>
              <w:bottom w:w="28" w:type="dxa"/>
            </w:tcMar>
          </w:tcPr>
          <w:p>
            <w:pPr>
              <w:pStyle w:val="TableContents"/>
              <w:bidi w:val="0"/>
              <w:spacing w:before="0" w:after="283"/>
              <w:jc w:val="center"/>
              <w:rPr/>
            </w:pPr>
            <w:r>
              <w:rPr/>
              <w:t>2</w:t>
            </w:r>
          </w:p>
        </w:tc>
        <w:tc>
          <w:tcPr>
            <w:tcW w:w="140" w:type="dxa"/>
            <w:tcBorders>
              <w:bottom w:val="single" w:sz="2" w:space="0" w:color="000000"/>
            </w:tcBorders>
            <w:shd w:fill="CCEEFF" w:val="clear"/>
            <w:tcMar>
              <w:bottom w:w="28" w:type="dxa"/>
            </w:tcMar>
          </w:tcPr>
          <w:p>
            <w:pPr>
              <w:pStyle w:val="TableContents"/>
              <w:bidi w:val="0"/>
              <w:spacing w:before="0" w:after="283"/>
              <w:jc w:val="left"/>
              <w:rPr/>
            </w:pPr>
            <w:r>
              <w:rPr/>
              <w:t> </w:t>
            </w:r>
          </w:p>
        </w:tc>
      </w:tr>
      <w:tr>
        <w:trPr>
          <w:trHeight w:val="75" w:hRule="atLeast"/>
        </w:trPr>
        <w:tc>
          <w:tcPr>
            <w:tcW w:w="2443" w:type="dxa"/>
            <w:gridSpan w:val="3"/>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350"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921" w:type="dxa"/>
            <w:gridSpan w:val="4"/>
            <w:tcBorders/>
            <w:vAlign w:val="center"/>
          </w:tcPr>
          <w:p>
            <w:pPr>
              <w:pStyle w:val="TableContents"/>
              <w:bidi w:val="0"/>
              <w:spacing w:before="0" w:after="283"/>
              <w:jc w:val="left"/>
              <w:rPr>
                <w:sz w:val="4"/>
                <w:szCs w:val="4"/>
              </w:rPr>
            </w:pPr>
            <w:r>
              <w:rPr>
                <w:sz w:val="4"/>
                <w:szCs w:val="4"/>
              </w:rPr>
            </w:r>
          </w:p>
        </w:tc>
      </w:tr>
      <w:tr>
        <w:trPr/>
        <w:tc>
          <w:tcPr>
            <w:tcW w:w="2443" w:type="dxa"/>
            <w:gridSpan w:val="3"/>
            <w:tcBorders>
              <w:bottom w:val="single" w:sz="2" w:space="0" w:color="000000"/>
            </w:tcBorders>
            <w:tcMar>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Total Owned OSVs</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tcMar>
              <w:bottom w:w="28" w:type="dxa"/>
            </w:tcMar>
          </w:tcPr>
          <w:p>
            <w:pPr>
              <w:pStyle w:val="TableContents"/>
              <w:bidi w:val="0"/>
              <w:spacing w:before="0" w:after="283"/>
              <w:jc w:val="left"/>
              <w:rPr/>
            </w:pPr>
            <w:r>
              <w:rPr/>
              <w:t> </w:t>
            </w:r>
          </w:p>
        </w:tc>
        <w:tc>
          <w:tcPr>
            <w:tcW w:w="370" w:type="dxa"/>
            <w:tcBorders>
              <w:bottom w:val="single" w:sz="2" w:space="0" w:color="000000"/>
            </w:tcBorders>
            <w:tcMar>
              <w:bottom w:w="28" w:type="dxa"/>
            </w:tcMar>
          </w:tcPr>
          <w:p>
            <w:pPr>
              <w:pStyle w:val="TableContents"/>
              <w:bidi w:val="0"/>
              <w:spacing w:before="0" w:after="283"/>
              <w:jc w:val="center"/>
              <w:rPr>
                <w:b/>
              </w:rPr>
            </w:pPr>
            <w:r>
              <w:rPr>
                <w:b/>
              </w:rPr>
              <w:t>45</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tcPr>
          <w:p>
            <w:pPr>
              <w:pStyle w:val="TableContents"/>
              <w:bidi w:val="0"/>
              <w:spacing w:before="0" w:after="283"/>
              <w:jc w:val="left"/>
              <w:rPr/>
            </w:pPr>
            <w:r>
              <w:rPr/>
              <w:t> </w:t>
            </w:r>
          </w:p>
        </w:tc>
        <w:tc>
          <w:tcPr>
            <w:tcW w:w="623" w:type="dxa"/>
            <w:tcBorders>
              <w:bottom w:val="single" w:sz="2" w:space="0" w:color="000000"/>
            </w:tcBorders>
            <w:tcMar>
              <w:bottom w:w="28" w:type="dxa"/>
            </w:tcMar>
          </w:tcPr>
          <w:p>
            <w:pPr>
              <w:pStyle w:val="TableContents"/>
              <w:bidi w:val="0"/>
              <w:spacing w:before="0" w:after="283"/>
              <w:jc w:val="center"/>
              <w:rPr>
                <w:b/>
              </w:rPr>
            </w:pPr>
            <w:r>
              <w:rPr>
                <w:b/>
              </w:rPr>
              <w:t>10</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tcMar>
              <w:bottom w:w="28" w:type="dxa"/>
            </w:tcMar>
          </w:tcPr>
          <w:p>
            <w:pPr>
              <w:pStyle w:val="TableContents"/>
              <w:bidi w:val="0"/>
              <w:spacing w:before="0" w:after="283"/>
              <w:jc w:val="left"/>
              <w:rPr/>
            </w:pPr>
            <w:r>
              <w:rPr/>
              <w:t> </w:t>
            </w:r>
          </w:p>
        </w:tc>
        <w:tc>
          <w:tcPr>
            <w:tcW w:w="772" w:type="dxa"/>
            <w:tcBorders>
              <w:bottom w:val="single" w:sz="2" w:space="0" w:color="000000"/>
            </w:tcBorders>
            <w:tcMar>
              <w:bottom w:w="28" w:type="dxa"/>
            </w:tcMar>
          </w:tcPr>
          <w:p>
            <w:pPr>
              <w:pStyle w:val="TableContents"/>
              <w:bidi w:val="0"/>
              <w:spacing w:before="0" w:after="283"/>
              <w:jc w:val="center"/>
              <w:rPr>
                <w:b/>
              </w:rPr>
            </w:pPr>
            <w:r>
              <w:rPr>
                <w:b/>
              </w:rPr>
              <w:t>2</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297"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28" w:type="dxa"/>
            </w:tcMar>
          </w:tcPr>
          <w:p>
            <w:pPr>
              <w:pStyle w:val="TableContents"/>
              <w:bidi w:val="0"/>
              <w:spacing w:before="0" w:after="283"/>
              <w:jc w:val="left"/>
              <w:rPr/>
            </w:pPr>
            <w:r>
              <w:rPr/>
              <w:t> </w:t>
            </w:r>
          </w:p>
        </w:tc>
        <w:tc>
          <w:tcPr>
            <w:tcW w:w="531" w:type="dxa"/>
            <w:tcBorders>
              <w:bottom w:val="single" w:sz="2" w:space="0" w:color="000000"/>
            </w:tcBorders>
            <w:tcMar>
              <w:bottom w:w="28" w:type="dxa"/>
            </w:tcMar>
          </w:tcPr>
          <w:p>
            <w:pPr>
              <w:pStyle w:val="TableContents"/>
              <w:bidi w:val="0"/>
              <w:spacing w:before="0" w:after="283"/>
              <w:jc w:val="center"/>
              <w:rPr>
                <w:b/>
              </w:rPr>
            </w:pPr>
            <w:r>
              <w:rPr>
                <w:b/>
              </w:rPr>
              <w:t>2</w:t>
            </w:r>
          </w:p>
        </w:tc>
        <w:tc>
          <w:tcPr>
            <w:tcW w:w="104"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tcMar>
              <w:bottom w:w="28" w:type="dxa"/>
            </w:tcMar>
          </w:tcPr>
          <w:p>
            <w:pPr>
              <w:pStyle w:val="TableContents"/>
              <w:bidi w:val="0"/>
              <w:spacing w:before="0" w:after="283"/>
              <w:jc w:val="left"/>
              <w:rPr/>
            </w:pPr>
            <w:r>
              <w:rPr/>
              <w:t> </w:t>
            </w:r>
          </w:p>
        </w:tc>
        <w:tc>
          <w:tcPr>
            <w:tcW w:w="990" w:type="dxa"/>
            <w:tcBorders>
              <w:bottom w:val="single" w:sz="2" w:space="0" w:color="000000"/>
            </w:tcBorders>
            <w:tcMar>
              <w:bottom w:w="28" w:type="dxa"/>
            </w:tcMar>
          </w:tcPr>
          <w:p>
            <w:pPr>
              <w:pStyle w:val="TableContents"/>
              <w:bidi w:val="0"/>
              <w:spacing w:before="0" w:after="283"/>
              <w:jc w:val="center"/>
              <w:rPr/>
            </w:pPr>
            <w:r>
              <w:rPr/>
              <w:t>—</w:t>
            </w:r>
          </w:p>
        </w:tc>
        <w:tc>
          <w:tcPr>
            <w:tcW w:w="129" w:type="dxa"/>
            <w:tcBorders>
              <w:bottom w:val="single" w:sz="2" w:space="0" w:color="000000"/>
            </w:tcBorders>
            <w:tcMar>
              <w:bottom w:w="28" w:type="dxa"/>
            </w:tcMar>
          </w:tcPr>
          <w:p>
            <w:pPr>
              <w:pStyle w:val="TableContents"/>
              <w:bidi w:val="0"/>
              <w:spacing w:before="0" w:after="283"/>
              <w:jc w:val="left"/>
              <w:rPr/>
            </w:pPr>
            <w:r>
              <w:rPr/>
              <w:t> </w:t>
            </w:r>
          </w:p>
        </w:tc>
        <w:tc>
          <w:tcPr>
            <w:tcW w:w="346" w:type="dxa"/>
            <w:tcBorders>
              <w:bottom w:val="single" w:sz="2" w:space="0" w:color="000000"/>
            </w:tcBorders>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tcMar>
              <w:bottom w:w="28" w:type="dxa"/>
            </w:tcMar>
          </w:tcPr>
          <w:p>
            <w:pPr>
              <w:pStyle w:val="TableContents"/>
              <w:bidi w:val="0"/>
              <w:spacing w:before="0" w:after="283"/>
              <w:jc w:val="left"/>
              <w:rPr/>
            </w:pPr>
            <w:r>
              <w:rPr/>
              <w:t> </w:t>
            </w:r>
          </w:p>
        </w:tc>
        <w:tc>
          <w:tcPr>
            <w:tcW w:w="1221" w:type="dxa"/>
            <w:tcBorders>
              <w:bottom w:val="single" w:sz="2" w:space="0" w:color="000000"/>
            </w:tcBorders>
            <w:tcMar>
              <w:bottom w:w="28" w:type="dxa"/>
            </w:tcMar>
          </w:tcPr>
          <w:p>
            <w:pPr>
              <w:pStyle w:val="TableContents"/>
              <w:bidi w:val="0"/>
              <w:spacing w:before="0" w:after="283"/>
              <w:jc w:val="center"/>
              <w:rPr>
                <w:b/>
              </w:rPr>
            </w:pPr>
            <w:r>
              <w:rPr>
                <w:b/>
              </w:rPr>
              <w:t>59(2)</w:t>
            </w:r>
          </w:p>
        </w:tc>
        <w:tc>
          <w:tcPr>
            <w:tcW w:w="140"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405" w:type="dxa"/>
            <w:tcBorders>
              <w:right w:val="single" w:sz="2" w:space="0" w:color="000000"/>
            </w:tcBorders>
            <w:tcMar>
              <w:right w:w="28" w:type="dxa"/>
            </w:tcMar>
            <w:vAlign w:val="center"/>
          </w:tcPr>
          <w:p>
            <w:pPr>
              <w:pStyle w:val="TableContents"/>
              <w:bidi w:val="0"/>
              <w:spacing w:before="0" w:after="283"/>
              <w:jc w:val="left"/>
              <w:rPr/>
            </w:pPr>
            <w:r>
              <w:rPr/>
              <w:t> </w:t>
            </w:r>
          </w:p>
        </w:tc>
        <w:tc>
          <w:tcPr>
            <w:tcW w:w="2038" w:type="dxa"/>
            <w:gridSpan w:val="2"/>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350"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921" w:type="dxa"/>
            <w:gridSpan w:val="4"/>
            <w:tcBorders/>
            <w:vAlign w:val="center"/>
          </w:tcPr>
          <w:p>
            <w:pPr>
              <w:pStyle w:val="TableContents"/>
              <w:bidi w:val="0"/>
              <w:spacing w:before="0" w:after="283"/>
              <w:jc w:val="left"/>
              <w:rPr>
                <w:sz w:val="4"/>
                <w:szCs w:val="4"/>
              </w:rPr>
            </w:pPr>
            <w:r>
              <w:rPr>
                <w:sz w:val="4"/>
                <w:szCs w:val="4"/>
              </w:rPr>
            </w:r>
          </w:p>
        </w:tc>
      </w:tr>
      <w:tr>
        <w:trPr/>
        <w:tc>
          <w:tcPr>
            <w:tcW w:w="405" w:type="dxa"/>
            <w:tcBorders>
              <w:bottom w:val="single" w:sz="2" w:space="0" w:color="000000"/>
              <w:right w:val="single" w:sz="2" w:space="0" w:color="000000"/>
            </w:tcBorders>
            <w:shd w:fill="CCEEFF" w:val="clear"/>
            <w:tcMar>
              <w:bottom w:w="28" w:type="dxa"/>
              <w:right w:w="28" w:type="dxa"/>
            </w:tcMa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33985" cy="51498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3985" cy="514985"/>
                          </a:xfrm>
                          <a:prstGeom prst="rect">
                            <a:avLst/>
                          </a:prstGeom>
                        </pic:spPr>
                      </pic:pic>
                    </a:graphicData>
                  </a:graphic>
                </wp:inline>
              </w:drawing>
            </w:r>
            <w:r>
              <w:rPr/>
              <w:t xml:space="preserve"> </w:t>
            </w:r>
          </w:p>
          <w:p>
            <w:pPr>
              <w:pStyle w:val="TableContents"/>
              <w:bidi w:val="0"/>
              <w:spacing w:before="0" w:after="20"/>
              <w:jc w:val="left"/>
              <w:rPr/>
            </w:pPr>
            <w:r>
              <w:rPr/>
              <w:t> </w:t>
            </w:r>
          </w:p>
        </w:tc>
        <w:tc>
          <w:tcPr>
            <w:tcW w:w="12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09" w:type="dxa"/>
            <w:tcBorders>
              <w:bottom w:val="single" w:sz="2" w:space="0" w:color="000000"/>
            </w:tcBorders>
            <w:shd w:fill="CCEEFF" w:val="clear"/>
            <w:tcMar>
              <w:bottom w:w="28" w:type="dxa"/>
            </w:tcMar>
            <w:vAlign w:val="center"/>
          </w:tcPr>
          <w:p>
            <w:pPr>
              <w:pStyle w:val="TableContents"/>
              <w:bidi w:val="0"/>
              <w:spacing w:before="0" w:after="283"/>
              <w:jc w:val="left"/>
              <w:rPr/>
            </w:pPr>
            <w:r>
              <w:rPr/>
              <w:t>USN T-AGSE</w:t>
            </w:r>
          </w:p>
        </w:tc>
        <w:tc>
          <w:tcPr>
            <w:tcW w:w="18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283"/>
              <w:jc w:val="center"/>
              <w:rPr/>
            </w:pPr>
            <w:r>
              <w:rPr/>
              <w:t>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single" w:sz="2" w:space="0" w:color="000000"/>
            </w:tcBorders>
            <w:shd w:fill="CCEEFF" w:val="clear"/>
            <w:tcMar>
              <w:bottom w:w="28" w:type="dxa"/>
            </w:tcMar>
            <w:vAlign w:val="center"/>
          </w:tcPr>
          <w:p>
            <w:pPr>
              <w:pStyle w:val="TableContents"/>
              <w:bidi w:val="0"/>
              <w:spacing w:before="0" w:after="283"/>
              <w:jc w:val="center"/>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9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31" w:type="dxa"/>
            <w:tcBorders>
              <w:bottom w:val="single" w:sz="2" w:space="0" w:color="000000"/>
            </w:tcBorders>
            <w:shd w:fill="CCEEFF" w:val="clear"/>
            <w:tcMar>
              <w:bottom w:w="28" w:type="dxa"/>
            </w:tcMar>
            <w:vAlign w:val="center"/>
          </w:tcPr>
          <w:p>
            <w:pPr>
              <w:pStyle w:val="TableContents"/>
              <w:bidi w:val="0"/>
              <w:spacing w:before="0" w:after="283"/>
              <w:jc w:val="center"/>
              <w:rPr/>
            </w:pPr>
            <w:r>
              <w:rPr/>
              <w:t>—</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jc w:val="center"/>
              <w:rPr/>
            </w:pPr>
            <w:r>
              <w:rPr/>
              <w:t>DP-2</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283"/>
              <w:jc w:val="center"/>
              <w:rPr/>
            </w:pPr>
            <w:r>
              <w:rPr/>
              <w:t>4(3)</w:t>
            </w:r>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rHeight w:val="75" w:hRule="atLeast"/>
        </w:trPr>
        <w:tc>
          <w:tcPr>
            <w:tcW w:w="2443" w:type="dxa"/>
            <w:gridSpan w:val="3"/>
            <w:tcBorders/>
            <w:vAlign w:val="center"/>
          </w:tcPr>
          <w:p>
            <w:pPr>
              <w:pStyle w:val="TableContents"/>
              <w:bidi w:val="0"/>
              <w:spacing w:before="0" w:after="283"/>
              <w:jc w:val="left"/>
              <w:rPr>
                <w:sz w:val="4"/>
                <w:szCs w:val="4"/>
              </w:rPr>
            </w:pPr>
            <w:r>
              <w:rPr>
                <w:sz w:val="4"/>
                <w:szCs w:val="4"/>
              </w:rPr>
            </w:r>
          </w:p>
        </w:tc>
        <w:tc>
          <w:tcPr>
            <w:tcW w:w="700" w:type="dxa"/>
            <w:gridSpan w:val="4"/>
            <w:tcBorders/>
            <w:vAlign w:val="center"/>
          </w:tcPr>
          <w:p>
            <w:pPr>
              <w:pStyle w:val="TableContents"/>
              <w:bidi w:val="0"/>
              <w:spacing w:before="0" w:after="283"/>
              <w:jc w:val="left"/>
              <w:rPr>
                <w:sz w:val="4"/>
                <w:szCs w:val="4"/>
              </w:rPr>
            </w:pPr>
            <w:r>
              <w:rPr>
                <w:sz w:val="4"/>
                <w:szCs w:val="4"/>
              </w:rPr>
            </w:r>
          </w:p>
        </w:tc>
        <w:tc>
          <w:tcPr>
            <w:tcW w:w="1170" w:type="dxa"/>
            <w:gridSpan w:val="4"/>
            <w:tcBorders/>
            <w:vAlign w:val="center"/>
          </w:tcPr>
          <w:p>
            <w:pPr>
              <w:pStyle w:val="TableContents"/>
              <w:bidi w:val="0"/>
              <w:spacing w:before="0" w:after="283"/>
              <w:jc w:val="left"/>
              <w:rPr>
                <w:sz w:val="4"/>
                <w:szCs w:val="4"/>
              </w:rPr>
            </w:pPr>
            <w:r>
              <w:rPr>
                <w:sz w:val="4"/>
                <w:szCs w:val="4"/>
              </w:rPr>
            </w:r>
          </w:p>
        </w:tc>
        <w:tc>
          <w:tcPr>
            <w:tcW w:w="1350" w:type="dxa"/>
            <w:gridSpan w:val="4"/>
            <w:tcBorders/>
            <w:vAlign w:val="center"/>
          </w:tcPr>
          <w:p>
            <w:pPr>
              <w:pStyle w:val="TableContents"/>
              <w:bidi w:val="0"/>
              <w:spacing w:before="0" w:after="283"/>
              <w:jc w:val="left"/>
              <w:rPr>
                <w:sz w:val="4"/>
                <w:szCs w:val="4"/>
              </w:rPr>
            </w:pPr>
            <w:r>
              <w:rPr>
                <w:sz w:val="4"/>
                <w:szCs w:val="4"/>
              </w:rPr>
            </w:r>
          </w:p>
        </w:tc>
        <w:tc>
          <w:tcPr>
            <w:tcW w:w="1051"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921" w:type="dxa"/>
            <w:gridSpan w:val="4"/>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Total Operated OSVs</w:t>
            </w:r>
          </w:p>
        </w:tc>
        <w:tc>
          <w:tcPr>
            <w:tcW w:w="185" w:type="dxa"/>
            <w:tcBorders/>
            <w:vAlign w:val="bottom"/>
          </w:tcPr>
          <w:p>
            <w:pPr>
              <w:pStyle w:val="TableContents"/>
              <w:bidi w:val="0"/>
              <w:spacing w:before="0" w:after="283"/>
              <w:jc w:val="left"/>
              <w:rPr/>
            </w:pPr>
            <w:r>
              <w:rPr/>
              <w:t>  </w:t>
            </w:r>
          </w:p>
        </w:tc>
        <w:tc>
          <w:tcPr>
            <w:tcW w:w="85" w:type="dxa"/>
            <w:tcBorders/>
          </w:tcPr>
          <w:p>
            <w:pPr>
              <w:pStyle w:val="TableContents"/>
              <w:bidi w:val="0"/>
              <w:spacing w:before="0" w:after="283"/>
              <w:jc w:val="left"/>
              <w:rPr/>
            </w:pPr>
            <w:r>
              <w:rPr/>
              <w:t> </w:t>
            </w:r>
          </w:p>
        </w:tc>
        <w:tc>
          <w:tcPr>
            <w:tcW w:w="370" w:type="dxa"/>
            <w:tcBorders/>
          </w:tcPr>
          <w:p>
            <w:pPr>
              <w:pStyle w:val="TableContents"/>
              <w:bidi w:val="0"/>
              <w:spacing w:before="0" w:after="283"/>
              <w:jc w:val="center"/>
              <w:rPr>
                <w:b/>
              </w:rPr>
            </w:pPr>
            <w:r>
              <w:rPr>
                <w:b/>
              </w:rPr>
              <w:t>49</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 </w:t>
            </w:r>
          </w:p>
        </w:tc>
        <w:tc>
          <w:tcPr>
            <w:tcW w:w="623" w:type="dxa"/>
            <w:tcBorders/>
          </w:tcPr>
          <w:p>
            <w:pPr>
              <w:pStyle w:val="TableContents"/>
              <w:bidi w:val="0"/>
              <w:spacing w:before="0" w:after="283"/>
              <w:jc w:val="center"/>
              <w:rPr>
                <w:b/>
              </w:rPr>
            </w:pPr>
            <w:r>
              <w:rPr>
                <w:b/>
              </w:rPr>
              <w:t>10</w:t>
            </w:r>
          </w:p>
        </w:tc>
        <w:tc>
          <w:tcPr>
            <w:tcW w:w="60"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pPr>
            <w:r>
              <w:rPr/>
              <w:t> </w:t>
            </w:r>
          </w:p>
        </w:tc>
        <w:tc>
          <w:tcPr>
            <w:tcW w:w="772" w:type="dxa"/>
            <w:tcBorders/>
          </w:tcPr>
          <w:p>
            <w:pPr>
              <w:pStyle w:val="TableContents"/>
              <w:bidi w:val="0"/>
              <w:spacing w:before="0" w:after="283"/>
              <w:jc w:val="center"/>
              <w:rPr>
                <w:b/>
              </w:rPr>
            </w:pPr>
            <w:r>
              <w:rPr>
                <w:b/>
              </w:rPr>
              <w:t>2</w:t>
            </w:r>
          </w:p>
        </w:tc>
        <w:tc>
          <w:tcPr>
            <w:tcW w:w="60" w:type="dxa"/>
            <w:tcBorders/>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19" w:type="dxa"/>
            <w:tcBorders/>
          </w:tcPr>
          <w:p>
            <w:pPr>
              <w:pStyle w:val="TableContents"/>
              <w:bidi w:val="0"/>
              <w:spacing w:before="0" w:after="283"/>
              <w:jc w:val="left"/>
              <w:rPr/>
            </w:pPr>
            <w:r>
              <w:rPr/>
              <w:t> </w:t>
            </w:r>
          </w:p>
        </w:tc>
        <w:tc>
          <w:tcPr>
            <w:tcW w:w="531" w:type="dxa"/>
            <w:tcBorders/>
          </w:tcPr>
          <w:p>
            <w:pPr>
              <w:pStyle w:val="TableContents"/>
              <w:bidi w:val="0"/>
              <w:spacing w:before="0" w:after="283"/>
              <w:jc w:val="center"/>
              <w:rPr>
                <w:b/>
              </w:rPr>
            </w:pPr>
            <w:r>
              <w:rPr>
                <w:b/>
              </w:rPr>
              <w:t>2</w:t>
            </w:r>
          </w:p>
        </w:tc>
        <w:tc>
          <w:tcPr>
            <w:tcW w:w="104"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105" w:type="dxa"/>
            <w:tcBorders/>
          </w:tcPr>
          <w:p>
            <w:pPr>
              <w:pStyle w:val="TableContents"/>
              <w:bidi w:val="0"/>
              <w:spacing w:before="0" w:after="283"/>
              <w:jc w:val="left"/>
              <w:rPr/>
            </w:pPr>
            <w:r>
              <w:rPr/>
              <w:t> </w:t>
            </w:r>
          </w:p>
        </w:tc>
        <w:tc>
          <w:tcPr>
            <w:tcW w:w="990" w:type="dxa"/>
            <w:tcBorders/>
          </w:tcPr>
          <w:p>
            <w:pPr>
              <w:pStyle w:val="TableContents"/>
              <w:bidi w:val="0"/>
              <w:spacing w:before="0" w:after="283"/>
              <w:jc w:val="center"/>
              <w:rPr/>
            </w:pPr>
            <w:r>
              <w:rPr/>
              <w:t>—</w:t>
            </w:r>
          </w:p>
        </w:tc>
        <w:tc>
          <w:tcPr>
            <w:tcW w:w="129" w:type="dxa"/>
            <w:tcBorders/>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14" w:type="dxa"/>
            <w:tcBorders/>
          </w:tcPr>
          <w:p>
            <w:pPr>
              <w:pStyle w:val="TableContents"/>
              <w:bidi w:val="0"/>
              <w:spacing w:before="0" w:after="283"/>
              <w:jc w:val="left"/>
              <w:rPr/>
            </w:pPr>
            <w:r>
              <w:rPr/>
              <w:t> </w:t>
            </w:r>
          </w:p>
        </w:tc>
        <w:tc>
          <w:tcPr>
            <w:tcW w:w="1221" w:type="dxa"/>
            <w:tcBorders/>
          </w:tcPr>
          <w:p>
            <w:pPr>
              <w:pStyle w:val="TableContents"/>
              <w:bidi w:val="0"/>
              <w:spacing w:before="0" w:after="283"/>
              <w:jc w:val="center"/>
              <w:rPr>
                <w:b/>
              </w:rPr>
            </w:pPr>
            <w:r>
              <w:rPr>
                <w:b/>
              </w:rPr>
              <w:t>63</w:t>
            </w:r>
          </w:p>
        </w:tc>
        <w:tc>
          <w:tcPr>
            <w:tcW w:w="140" w:type="dxa"/>
            <w:tcBorders/>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mid-spec vessels and low-spec vessels.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24 stacked vessels, comprised of one HOSFLEX 370, four HOSMAX 280s, one HOS 265, three HOS 250s, 13 HOS 240s, and two HOS 200s.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four OSVs formerly owned by us that we now operate and maintain for the U.S. Navy.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MPSV Fleet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illustrates our fleet of MPSVs and the nations in which they are flagged as of December 31, 2025: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454"/>
        <w:gridCol w:w="291"/>
        <w:gridCol w:w="457"/>
        <w:gridCol w:w="720"/>
        <w:gridCol w:w="775"/>
        <w:gridCol w:w="720"/>
        <w:gridCol w:w="924"/>
        <w:gridCol w:w="720"/>
        <w:gridCol w:w="951"/>
        <w:gridCol w:w="719"/>
        <w:gridCol w:w="1474"/>
      </w:tblGrid>
      <w:tr>
        <w:trPr/>
        <w:tc>
          <w:tcPr>
            <w:tcW w:w="2454" w:type="dxa"/>
            <w:tcBorders/>
            <w:vAlign w:val="center"/>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720" w:type="dxa"/>
            <w:tcBorders/>
            <w:vAlign w:val="bottom"/>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2454" w:type="dxa"/>
            <w:tcBorders>
              <w:bottom w:val="single" w:sz="2" w:space="0" w:color="000000"/>
            </w:tcBorders>
            <w:tcMar>
              <w:bottom w:w="28" w:type="dxa"/>
            </w:tcMar>
            <w:vAlign w:val="bottom"/>
          </w:tcPr>
          <w:p>
            <w:pPr>
              <w:pStyle w:val="TableContents"/>
              <w:bidi w:val="0"/>
              <w:spacing w:before="0" w:after="283"/>
              <w:jc w:val="left"/>
              <w:rPr>
                <w:b/>
              </w:rPr>
            </w:pPr>
            <w:r>
              <w:rPr>
                <w:b/>
              </w:rPr>
              <w:t>Vessel Class</w:t>
            </w:r>
          </w:p>
        </w:tc>
        <w:tc>
          <w:tcPr>
            <w:tcW w:w="291" w:type="dxa"/>
            <w:tcBorders>
              <w:bottom w:val="single" w:sz="2" w:space="0" w:color="000000"/>
            </w:tcBorders>
            <w:tcMar>
              <w:bottom w:w="28" w:type="dxa"/>
            </w:tcMar>
            <w:vAlign w:val="bottom"/>
          </w:tcPr>
          <w:p>
            <w:pPr>
              <w:pStyle w:val="TableContents"/>
              <w:bidi w:val="0"/>
              <w:spacing w:before="0" w:after="283"/>
              <w:jc w:val="left"/>
              <w:rPr/>
            </w:pPr>
            <w:r>
              <w:rPr/>
              <w:t>  </w:t>
            </w:r>
          </w:p>
        </w:tc>
        <w:tc>
          <w:tcPr>
            <w:tcW w:w="457" w:type="dxa"/>
            <w:tcBorders>
              <w:bottom w:val="single" w:sz="2" w:space="0" w:color="000000"/>
            </w:tcBorders>
            <w:tcMar>
              <w:bottom w:w="28" w:type="dxa"/>
            </w:tcMar>
            <w:vAlign w:val="bottom"/>
          </w:tcPr>
          <w:p>
            <w:pPr>
              <w:pStyle w:val="TableContents"/>
              <w:bidi w:val="0"/>
              <w:spacing w:before="0" w:after="283"/>
              <w:jc w:val="center"/>
              <w:rPr>
                <w:b/>
              </w:rPr>
            </w:pPr>
            <w:r>
              <w:rPr>
                <w:b/>
              </w:rPr>
              <w:t>U.S.</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775" w:type="dxa"/>
            <w:tcBorders>
              <w:bottom w:val="single" w:sz="2" w:space="0" w:color="000000"/>
            </w:tcBorders>
            <w:tcMar>
              <w:bottom w:w="28" w:type="dxa"/>
            </w:tcMar>
            <w:vAlign w:val="bottom"/>
          </w:tcPr>
          <w:p>
            <w:pPr>
              <w:pStyle w:val="TableContents"/>
              <w:bidi w:val="0"/>
              <w:spacing w:before="0" w:after="283"/>
              <w:jc w:val="center"/>
              <w:rPr>
                <w:b/>
              </w:rPr>
            </w:pPr>
            <w:r>
              <w:rPr>
                <w:b/>
              </w:rPr>
              <w:t>Mexico</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924" w:type="dxa"/>
            <w:tcBorders>
              <w:bottom w:val="single" w:sz="2" w:space="0" w:color="000000"/>
            </w:tcBorders>
            <w:tcMar>
              <w:bottom w:w="28" w:type="dxa"/>
            </w:tcMar>
            <w:vAlign w:val="bottom"/>
          </w:tcPr>
          <w:p>
            <w:pPr>
              <w:pStyle w:val="TableContents"/>
              <w:bidi w:val="0"/>
              <w:spacing w:before="0" w:after="283"/>
              <w:jc w:val="center"/>
              <w:rPr>
                <w:b/>
              </w:rPr>
            </w:pPr>
            <w:r>
              <w:rPr>
                <w:b/>
              </w:rPr>
              <w:t>Vanuatu</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951" w:type="dxa"/>
            <w:tcBorders>
              <w:bottom w:val="single" w:sz="2" w:space="0" w:color="000000"/>
            </w:tcBorders>
            <w:tcMar>
              <w:bottom w:w="28" w:type="dxa"/>
            </w:tcMar>
            <w:vAlign w:val="bottom"/>
          </w:tcPr>
          <w:p>
            <w:pPr>
              <w:pStyle w:val="TableContents"/>
              <w:bidi w:val="0"/>
              <w:spacing w:before="0" w:after="283"/>
              <w:jc w:val="center"/>
              <w:rPr>
                <w:b/>
              </w:rPr>
            </w:pPr>
            <w:r>
              <w:rPr>
                <w:b/>
              </w:rPr>
              <w:t>DP Class</w:t>
            </w:r>
          </w:p>
        </w:tc>
        <w:tc>
          <w:tcPr>
            <w:tcW w:w="71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tcBorders>
            <w:tcMar>
              <w:bottom w:w="28" w:type="dxa"/>
            </w:tcMar>
            <w:vAlign w:val="bottom"/>
          </w:tcPr>
          <w:p>
            <w:pPr>
              <w:pStyle w:val="TableContents"/>
              <w:bidi w:val="0"/>
              <w:spacing w:before="0" w:after="283"/>
              <w:jc w:val="center"/>
              <w:rPr>
                <w:b/>
              </w:rPr>
            </w:pPr>
            <w:r>
              <w:rPr>
                <w:b/>
              </w:rPr>
              <w:t>Total in Class</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C/SOV+FLOTEL</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pPr>
            <w:r>
              <w:rPr/>
              <w:t>1</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center"/>
              <w:rPr/>
            </w:pPr>
            <w:r>
              <w:rPr/>
              <w:t>DP-2</w:t>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pPr>
            <w:r>
              <w:rPr/>
              <w:t>1</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FLOTEL</w:t>
            </w:r>
          </w:p>
        </w:tc>
        <w:tc>
          <w:tcPr>
            <w:tcW w:w="291" w:type="dxa"/>
            <w:tcBorders/>
            <w:vAlign w:val="bottom"/>
          </w:tcPr>
          <w:p>
            <w:pPr>
              <w:pStyle w:val="TableContents"/>
              <w:bidi w:val="0"/>
              <w:spacing w:before="0" w:after="283"/>
              <w:jc w:val="left"/>
              <w:rPr/>
            </w:pPr>
            <w:r>
              <w:rPr/>
              <w:t>  </w:t>
            </w:r>
          </w:p>
        </w:tc>
        <w:tc>
          <w:tcPr>
            <w:tcW w:w="457" w:type="dxa"/>
            <w:tcBorders/>
            <w:vAlign w:val="center"/>
          </w:tcPr>
          <w:p>
            <w:pPr>
              <w:pStyle w:val="TableContents"/>
              <w:bidi w:val="0"/>
              <w:spacing w:before="0" w:after="283"/>
              <w:jc w:val="center"/>
              <w:rPr/>
            </w:pPr>
            <w:r>
              <w:rPr/>
              <w:t>2</w:t>
            </w:r>
          </w:p>
        </w:tc>
        <w:tc>
          <w:tcPr>
            <w:tcW w:w="720" w:type="dxa"/>
            <w:tcBorders/>
            <w:vAlign w:val="bottom"/>
          </w:tcPr>
          <w:p>
            <w:pPr>
              <w:pStyle w:val="TableContents"/>
              <w:bidi w:val="0"/>
              <w:spacing w:before="0" w:after="283"/>
              <w:jc w:val="left"/>
              <w:rPr/>
            </w:pPr>
            <w:r>
              <w:rPr/>
              <w:t>    </w:t>
            </w:r>
          </w:p>
        </w:tc>
        <w:tc>
          <w:tcPr>
            <w:tcW w:w="775"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24"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51" w:type="dxa"/>
            <w:tcBorders/>
            <w:vAlign w:val="center"/>
          </w:tcPr>
          <w:p>
            <w:pPr>
              <w:pStyle w:val="TableContents"/>
              <w:bidi w:val="0"/>
              <w:spacing w:before="0" w:after="283"/>
              <w:jc w:val="center"/>
              <w:rPr/>
            </w:pPr>
            <w:r>
              <w:rPr/>
              <w:t>DP-2</w:t>
            </w:r>
          </w:p>
        </w:tc>
        <w:tc>
          <w:tcPr>
            <w:tcW w:w="719" w:type="dxa"/>
            <w:tcBorders/>
            <w:vAlign w:val="bottom"/>
          </w:tcPr>
          <w:p>
            <w:pPr>
              <w:pStyle w:val="TableContents"/>
              <w:bidi w:val="0"/>
              <w:spacing w:before="0" w:after="283"/>
              <w:jc w:val="left"/>
              <w:rPr/>
            </w:pPr>
            <w:r>
              <w:rPr/>
              <w:t>    </w:t>
            </w:r>
          </w:p>
        </w:tc>
        <w:tc>
          <w:tcPr>
            <w:tcW w:w="1474" w:type="dxa"/>
            <w:tcBorders/>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430</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1</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1</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center"/>
              <w:rPr/>
            </w:pPr>
            <w:r>
              <w:rPr/>
              <w:t>DP-3</w:t>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400(1)</w:t>
            </w:r>
          </w:p>
        </w:tc>
        <w:tc>
          <w:tcPr>
            <w:tcW w:w="291" w:type="dxa"/>
            <w:tcBorders/>
            <w:vAlign w:val="bottom"/>
          </w:tcPr>
          <w:p>
            <w:pPr>
              <w:pStyle w:val="TableContents"/>
              <w:bidi w:val="0"/>
              <w:spacing w:before="0" w:after="283"/>
              <w:jc w:val="left"/>
              <w:rPr/>
            </w:pPr>
            <w:r>
              <w:rPr/>
              <w:t>  </w:t>
            </w:r>
          </w:p>
        </w:tc>
        <w:tc>
          <w:tcPr>
            <w:tcW w:w="457" w:type="dxa"/>
            <w:tcBorders/>
            <w:vAlign w:val="center"/>
          </w:tcPr>
          <w:p>
            <w:pPr>
              <w:pStyle w:val="TableContents"/>
              <w:bidi w:val="0"/>
              <w:spacing w:before="0" w:after="283"/>
              <w:jc w:val="center"/>
              <w:rPr/>
            </w:pPr>
            <w:r>
              <w:rPr/>
              <w:t>2</w:t>
            </w:r>
          </w:p>
        </w:tc>
        <w:tc>
          <w:tcPr>
            <w:tcW w:w="720" w:type="dxa"/>
            <w:tcBorders/>
            <w:vAlign w:val="bottom"/>
          </w:tcPr>
          <w:p>
            <w:pPr>
              <w:pStyle w:val="TableContents"/>
              <w:bidi w:val="0"/>
              <w:spacing w:before="0" w:after="283"/>
              <w:jc w:val="left"/>
              <w:rPr/>
            </w:pPr>
            <w:r>
              <w:rPr/>
              <w:t>    </w:t>
            </w:r>
          </w:p>
        </w:tc>
        <w:tc>
          <w:tcPr>
            <w:tcW w:w="775"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24"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51" w:type="dxa"/>
            <w:tcBorders/>
            <w:vAlign w:val="center"/>
          </w:tcPr>
          <w:p>
            <w:pPr>
              <w:pStyle w:val="TableContents"/>
              <w:bidi w:val="0"/>
              <w:spacing w:before="0" w:after="283"/>
              <w:jc w:val="center"/>
              <w:rPr/>
            </w:pPr>
            <w:r>
              <w:rPr/>
              <w:t>DP-2</w:t>
            </w:r>
          </w:p>
        </w:tc>
        <w:tc>
          <w:tcPr>
            <w:tcW w:w="719" w:type="dxa"/>
            <w:tcBorders/>
            <w:vAlign w:val="bottom"/>
          </w:tcPr>
          <w:p>
            <w:pPr>
              <w:pStyle w:val="TableContents"/>
              <w:bidi w:val="0"/>
              <w:spacing w:before="0" w:after="283"/>
              <w:jc w:val="left"/>
              <w:rPr/>
            </w:pPr>
            <w:r>
              <w:rPr/>
              <w:t>    </w:t>
            </w:r>
          </w:p>
        </w:tc>
        <w:tc>
          <w:tcPr>
            <w:tcW w:w="1474" w:type="dxa"/>
            <w:tcBorders/>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310/310ES</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pPr>
            <w:r>
              <w:rPr/>
              <w:t>3</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center"/>
              <w:rPr/>
            </w:pPr>
            <w:r>
              <w:rPr/>
              <w:t>DP-2</w:t>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pPr>
            <w:r>
              <w:rPr/>
              <w:t>3</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265</w:t>
            </w:r>
          </w:p>
        </w:tc>
        <w:tc>
          <w:tcPr>
            <w:tcW w:w="291" w:type="dxa"/>
            <w:tcBorders/>
            <w:vAlign w:val="bottom"/>
          </w:tcPr>
          <w:p>
            <w:pPr>
              <w:pStyle w:val="TableContents"/>
              <w:bidi w:val="0"/>
              <w:spacing w:before="0" w:after="283"/>
              <w:jc w:val="left"/>
              <w:rPr/>
            </w:pPr>
            <w:r>
              <w:rPr/>
              <w:t>  </w:t>
            </w:r>
          </w:p>
        </w:tc>
        <w:tc>
          <w:tcPr>
            <w:tcW w:w="457"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775" w:type="dxa"/>
            <w:tcBorders/>
            <w:vAlign w:val="center"/>
          </w:tcPr>
          <w:p>
            <w:pPr>
              <w:pStyle w:val="TableContents"/>
              <w:bidi w:val="0"/>
              <w:spacing w:before="0" w:after="283"/>
              <w:jc w:val="center"/>
              <w:rPr/>
            </w:pPr>
            <w:r>
              <w:rPr/>
              <w:t>1</w:t>
            </w:r>
          </w:p>
        </w:tc>
        <w:tc>
          <w:tcPr>
            <w:tcW w:w="720" w:type="dxa"/>
            <w:tcBorders/>
            <w:vAlign w:val="bottom"/>
          </w:tcPr>
          <w:p>
            <w:pPr>
              <w:pStyle w:val="TableContents"/>
              <w:bidi w:val="0"/>
              <w:spacing w:before="0" w:after="283"/>
              <w:jc w:val="left"/>
              <w:rPr/>
            </w:pPr>
            <w:r>
              <w:rPr/>
              <w:t>    </w:t>
            </w:r>
          </w:p>
        </w:tc>
        <w:tc>
          <w:tcPr>
            <w:tcW w:w="924" w:type="dxa"/>
            <w:tcBorders/>
            <w:vAlign w:val="center"/>
          </w:tcPr>
          <w:p>
            <w:pPr>
              <w:pStyle w:val="TableContents"/>
              <w:bidi w:val="0"/>
              <w:spacing w:before="0" w:after="283"/>
              <w:jc w:val="center"/>
              <w:rPr/>
            </w:pPr>
            <w:r>
              <w:rPr/>
              <w:t>—</w:t>
            </w:r>
          </w:p>
        </w:tc>
        <w:tc>
          <w:tcPr>
            <w:tcW w:w="720" w:type="dxa"/>
            <w:tcBorders/>
            <w:vAlign w:val="bottom"/>
          </w:tcPr>
          <w:p>
            <w:pPr>
              <w:pStyle w:val="TableContents"/>
              <w:bidi w:val="0"/>
              <w:spacing w:before="0" w:after="283"/>
              <w:jc w:val="left"/>
              <w:rPr/>
            </w:pPr>
            <w:r>
              <w:rPr/>
              <w:t>    </w:t>
            </w:r>
          </w:p>
        </w:tc>
        <w:tc>
          <w:tcPr>
            <w:tcW w:w="951" w:type="dxa"/>
            <w:tcBorders/>
            <w:vAlign w:val="center"/>
          </w:tcPr>
          <w:p>
            <w:pPr>
              <w:pStyle w:val="TableContents"/>
              <w:bidi w:val="0"/>
              <w:spacing w:before="0" w:after="283"/>
              <w:jc w:val="center"/>
              <w:rPr/>
            </w:pPr>
            <w:r>
              <w:rPr/>
              <w:t>DP-2</w:t>
            </w:r>
          </w:p>
        </w:tc>
        <w:tc>
          <w:tcPr>
            <w:tcW w:w="719" w:type="dxa"/>
            <w:tcBorders/>
            <w:vAlign w:val="bottom"/>
          </w:tcPr>
          <w:p>
            <w:pPr>
              <w:pStyle w:val="TableContents"/>
              <w:bidi w:val="0"/>
              <w:spacing w:before="0" w:after="283"/>
              <w:jc w:val="left"/>
              <w:rPr/>
            </w:pPr>
            <w:r>
              <w:rPr/>
              <w:t>    </w:t>
            </w:r>
          </w:p>
        </w:tc>
        <w:tc>
          <w:tcPr>
            <w:tcW w:w="1474" w:type="dxa"/>
            <w:tcBorders/>
            <w:vAlign w:val="center"/>
          </w:tcPr>
          <w:p>
            <w:pPr>
              <w:pStyle w:val="TableContents"/>
              <w:bidi w:val="0"/>
              <w:spacing w:before="0" w:after="283"/>
              <w:jc w:val="center"/>
              <w:rPr/>
            </w:pPr>
            <w:r>
              <w:rPr/>
              <w:t>1</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250</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pPr>
            <w:r>
              <w:rPr/>
              <w:t>2</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pPr>
            <w:r>
              <w:rPr/>
              <w:t>—</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center"/>
              <w:rPr/>
            </w:pPr>
            <w:r>
              <w:rPr/>
              <w:t>DP-2</w:t>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HOS 240(2)</w:t>
            </w:r>
          </w:p>
        </w:tc>
        <w:tc>
          <w:tcPr>
            <w:tcW w:w="291" w:type="dxa"/>
            <w:tcBorders>
              <w:bottom w:val="single" w:sz="2" w:space="0" w:color="000000"/>
            </w:tcBorders>
            <w:tcMar>
              <w:bottom w:w="28" w:type="dxa"/>
            </w:tcMar>
            <w:vAlign w:val="bottom"/>
          </w:tcPr>
          <w:p>
            <w:pPr>
              <w:pStyle w:val="TableContents"/>
              <w:bidi w:val="0"/>
              <w:spacing w:before="0" w:after="283"/>
              <w:jc w:val="left"/>
              <w:rPr/>
            </w:pPr>
            <w:r>
              <w:rPr/>
              <w:t>  </w:t>
            </w:r>
          </w:p>
        </w:tc>
        <w:tc>
          <w:tcPr>
            <w:tcW w:w="457" w:type="dxa"/>
            <w:tcBorders>
              <w:bottom w:val="single" w:sz="2" w:space="0" w:color="000000"/>
            </w:tcBorders>
            <w:tcMar>
              <w:bottom w:w="28" w:type="dxa"/>
            </w:tcMar>
            <w:vAlign w:val="center"/>
          </w:tcPr>
          <w:p>
            <w:pPr>
              <w:pStyle w:val="TableContents"/>
              <w:bidi w:val="0"/>
              <w:spacing w:before="0" w:after="283"/>
              <w:jc w:val="center"/>
              <w:rPr/>
            </w:pPr>
            <w:r>
              <w:rPr/>
              <w:t>2</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775" w:type="dxa"/>
            <w:tcBorders>
              <w:bottom w:val="single" w:sz="2" w:space="0" w:color="000000"/>
            </w:tcBorders>
            <w:tcMar>
              <w:bottom w:w="28" w:type="dxa"/>
            </w:tcMar>
            <w:vAlign w:val="center"/>
          </w:tcPr>
          <w:p>
            <w:pPr>
              <w:pStyle w:val="TableContents"/>
              <w:bidi w:val="0"/>
              <w:spacing w:before="0" w:after="283"/>
              <w:jc w:val="center"/>
              <w:rPr/>
            </w:pPr>
            <w:r>
              <w:rPr/>
              <w:t>—</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924" w:type="dxa"/>
            <w:tcBorders>
              <w:bottom w:val="single" w:sz="2" w:space="0" w:color="000000"/>
            </w:tcBorders>
            <w:tcMar>
              <w:bottom w:w="28" w:type="dxa"/>
            </w:tcMar>
            <w:vAlign w:val="center"/>
          </w:tcPr>
          <w:p>
            <w:pPr>
              <w:pStyle w:val="TableContents"/>
              <w:bidi w:val="0"/>
              <w:spacing w:before="0" w:after="283"/>
              <w:jc w:val="center"/>
              <w:rPr/>
            </w:pPr>
            <w:r>
              <w:rPr/>
              <w:t>—</w:t>
            </w:r>
          </w:p>
        </w:tc>
        <w:tc>
          <w:tcPr>
            <w:tcW w:w="720" w:type="dxa"/>
            <w:tcBorders>
              <w:bottom w:val="single" w:sz="2" w:space="0" w:color="000000"/>
            </w:tcBorders>
            <w:tcMar>
              <w:bottom w:w="28" w:type="dxa"/>
            </w:tcMar>
            <w:vAlign w:val="bottom"/>
          </w:tcPr>
          <w:p>
            <w:pPr>
              <w:pStyle w:val="TableContents"/>
              <w:bidi w:val="0"/>
              <w:spacing w:before="0" w:after="283"/>
              <w:jc w:val="left"/>
              <w:rPr/>
            </w:pPr>
            <w:r>
              <w:rPr/>
              <w:t>    </w:t>
            </w:r>
          </w:p>
        </w:tc>
        <w:tc>
          <w:tcPr>
            <w:tcW w:w="951" w:type="dxa"/>
            <w:tcBorders>
              <w:bottom w:val="single" w:sz="2" w:space="0" w:color="000000"/>
            </w:tcBorders>
            <w:tcMar>
              <w:bottom w:w="28" w:type="dxa"/>
            </w:tcMar>
            <w:vAlign w:val="center"/>
          </w:tcPr>
          <w:p>
            <w:pPr>
              <w:pStyle w:val="TableContents"/>
              <w:bidi w:val="0"/>
              <w:spacing w:before="0" w:after="283"/>
              <w:jc w:val="center"/>
              <w:rPr/>
            </w:pPr>
            <w:r>
              <w:rPr/>
              <w:t>DP-2</w:t>
            </w:r>
          </w:p>
        </w:tc>
        <w:tc>
          <w:tcPr>
            <w:tcW w:w="71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tcBorders>
            <w:tcMar>
              <w:bottom w:w="28" w:type="dxa"/>
            </w:tcMar>
            <w:vAlign w:val="center"/>
          </w:tcPr>
          <w:p>
            <w:pPr>
              <w:pStyle w:val="TableContents"/>
              <w:bidi w:val="0"/>
              <w:spacing w:before="0" w:after="283"/>
              <w:jc w:val="center"/>
              <w:rPr/>
            </w:pPr>
            <w:r>
              <w:rPr/>
              <w:t>2</w:t>
            </w:r>
          </w:p>
        </w:tc>
      </w:tr>
      <w:tr>
        <w:trPr>
          <w:trHeight w:val="60" w:hRule="atLeast"/>
        </w:trPr>
        <w:tc>
          <w:tcPr>
            <w:tcW w:w="2454" w:type="dxa"/>
            <w:tcBorders/>
            <w:vAlign w:val="center"/>
          </w:tcPr>
          <w:p>
            <w:pPr>
              <w:pStyle w:val="TableContents"/>
              <w:bidi w:val="0"/>
              <w:spacing w:before="0" w:after="283"/>
              <w:jc w:val="left"/>
              <w:rPr>
                <w:sz w:val="4"/>
                <w:szCs w:val="4"/>
              </w:rPr>
            </w:pPr>
            <w:r>
              <w:rPr>
                <w:sz w:val="4"/>
                <w:szCs w:val="4"/>
              </w:rPr>
            </w:r>
          </w:p>
        </w:tc>
        <w:tc>
          <w:tcPr>
            <w:tcW w:w="748" w:type="dxa"/>
            <w:gridSpan w:val="2"/>
            <w:tcBorders/>
            <w:vAlign w:val="center"/>
          </w:tcPr>
          <w:p>
            <w:pPr>
              <w:pStyle w:val="TableContents"/>
              <w:bidi w:val="0"/>
              <w:spacing w:before="0" w:after="283"/>
              <w:jc w:val="left"/>
              <w:rPr>
                <w:sz w:val="4"/>
                <w:szCs w:val="4"/>
              </w:rPr>
            </w:pPr>
            <w:r>
              <w:rPr>
                <w:sz w:val="4"/>
                <w:szCs w:val="4"/>
              </w:rPr>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644" w:type="dxa"/>
            <w:gridSpan w:val="2"/>
            <w:tcBorders/>
            <w:vAlign w:val="center"/>
          </w:tcPr>
          <w:p>
            <w:pPr>
              <w:pStyle w:val="TableContents"/>
              <w:bidi w:val="0"/>
              <w:spacing w:before="0" w:after="283"/>
              <w:jc w:val="left"/>
              <w:rPr>
                <w:sz w:val="4"/>
                <w:szCs w:val="4"/>
              </w:rPr>
            </w:pPr>
            <w:r>
              <w:rPr>
                <w:sz w:val="4"/>
                <w:szCs w:val="4"/>
              </w:rPr>
            </w:r>
          </w:p>
        </w:tc>
        <w:tc>
          <w:tcPr>
            <w:tcW w:w="1671" w:type="dxa"/>
            <w:gridSpan w:val="2"/>
            <w:tcBorders/>
            <w:vAlign w:val="center"/>
          </w:tcPr>
          <w:p>
            <w:pPr>
              <w:pStyle w:val="TableContents"/>
              <w:bidi w:val="0"/>
              <w:spacing w:before="0" w:after="283"/>
              <w:jc w:val="left"/>
              <w:rPr>
                <w:sz w:val="4"/>
                <w:szCs w:val="4"/>
              </w:rPr>
            </w:pPr>
            <w:r>
              <w:rPr>
                <w:sz w:val="4"/>
                <w:szCs w:val="4"/>
              </w:rPr>
            </w:r>
          </w:p>
        </w:tc>
        <w:tc>
          <w:tcPr>
            <w:tcW w:w="2193" w:type="dxa"/>
            <w:gridSpan w:val="2"/>
            <w:tcBorders/>
            <w:vAlign w:val="center"/>
          </w:tcPr>
          <w:p>
            <w:pPr>
              <w:pStyle w:val="TableContents"/>
              <w:bidi w:val="0"/>
              <w:spacing w:before="0" w:after="283"/>
              <w:jc w:val="left"/>
              <w:rPr>
                <w:sz w:val="4"/>
                <w:szCs w:val="4"/>
              </w:rPr>
            </w:pPr>
            <w:r>
              <w:rPr>
                <w:sz w:val="4"/>
                <w:szCs w:val="4"/>
              </w:rPr>
            </w:r>
          </w:p>
        </w:tc>
      </w:tr>
      <w:tr>
        <w:trPr/>
        <w:tc>
          <w:tcPr>
            <w:tcW w:w="245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MPSVs</w:t>
            </w:r>
          </w:p>
        </w:tc>
        <w:tc>
          <w:tcPr>
            <w:tcW w:w="291" w:type="dxa"/>
            <w:tcBorders/>
            <w:shd w:fill="CCEEFF" w:val="clear"/>
            <w:vAlign w:val="bottom"/>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center"/>
              <w:rPr>
                <w:b/>
              </w:rPr>
            </w:pPr>
            <w:r>
              <w:rPr>
                <w:b/>
              </w:rPr>
              <w:t>12</w:t>
            </w:r>
          </w:p>
        </w:tc>
        <w:tc>
          <w:tcPr>
            <w:tcW w:w="720" w:type="dxa"/>
            <w:tcBorders/>
            <w:shd w:fill="CCEEFF" w:val="clear"/>
            <w:vAlign w:val="bottom"/>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center"/>
              <w:rPr>
                <w:b/>
              </w:rPr>
            </w:pPr>
            <w:r>
              <w:rPr>
                <w:b/>
              </w:rPr>
              <w:t>2</w:t>
            </w:r>
          </w:p>
        </w:tc>
        <w:tc>
          <w:tcPr>
            <w:tcW w:w="720" w:type="dxa"/>
            <w:tcBorders/>
            <w:shd w:fill="CCEEFF" w:val="clear"/>
            <w:vAlign w:val="bottom"/>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center"/>
              <w:rPr>
                <w:b/>
              </w:rPr>
            </w:pPr>
            <w:r>
              <w:rPr>
                <w:b/>
              </w:rPr>
              <w:t>1</w:t>
            </w:r>
          </w:p>
        </w:tc>
        <w:tc>
          <w:tcPr>
            <w:tcW w:w="720" w:type="dxa"/>
            <w:tcBorders/>
            <w:shd w:fill="CCEEFF" w:val="clear"/>
            <w:vAlign w:val="bottom"/>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left"/>
              <w:rPr>
                <w:sz w:val="4"/>
                <w:szCs w:val="4"/>
              </w:rPr>
            </w:pPr>
            <w:r>
              <w:rPr>
                <w:sz w:val="4"/>
                <w:szCs w:val="4"/>
              </w:rPr>
            </w:r>
          </w:p>
        </w:tc>
        <w:tc>
          <w:tcPr>
            <w:tcW w:w="719" w:type="dxa"/>
            <w:tcBorders/>
            <w:shd w:fill="CCEEFF" w:val="clear"/>
            <w:vAlign w:val="bottom"/>
          </w:tcPr>
          <w:p>
            <w:pPr>
              <w:pStyle w:val="TableContents"/>
              <w:bidi w:val="0"/>
              <w:spacing w:before="0" w:after="283"/>
              <w:jc w:val="left"/>
              <w:rPr/>
            </w:pPr>
            <w:r>
              <w:rPr/>
              <w:t>    </w:t>
            </w:r>
          </w:p>
        </w:tc>
        <w:tc>
          <w:tcPr>
            <w:tcW w:w="1474" w:type="dxa"/>
            <w:tcBorders/>
            <w:shd w:fill="CCEEFF" w:val="clear"/>
            <w:vAlign w:val="center"/>
          </w:tcPr>
          <w:p>
            <w:pPr>
              <w:pStyle w:val="TableContents"/>
              <w:bidi w:val="0"/>
              <w:spacing w:before="0" w:after="283"/>
              <w:jc w:val="center"/>
              <w:rPr>
                <w:b/>
              </w:rPr>
            </w:pPr>
            <w:r>
              <w:rPr>
                <w:b/>
              </w:rPr>
              <w:t>15</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two partially constructed Jones Act-qualified MPSV newbuilds to be completed pursuant to our settlement with the Surety, as discussed further in “Management’s Discussion and Analysis of Financial Condition and Results of Operations—Recent Developments—MPSV Newbuild Construction.”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two stacked HOS 240s.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our fleet of vessels and workforce-in-place differentiate us and provide us with a unique footprint that would be extremely difficult to replicate by competitors. To that end, we consistently monitor several third-party marine industry vessel appraisal services that approximate the current fair market value, replacement value, and liquidation value of our types of vessels across the global OSV and MPSV landscape. These estimates are algorithmically formulated based upon vessel age, build specification, capabilities and recent comparable vessel sales, among other criteria. According to one such third-party appraisal provider, VesselsValueTM, our fleet of 59 OSVs and 15 MPSVs had a fair market value of approximately $2.7 billion and a newbuild, or replacement, value of approximately $5.4 billion as of December 31, 2025. We believe these estimates help quantify the unique value proposition and capabilities of our fleet and the tremendous impact they bring to our customers and the service-offering and geographical end-markets that we serve.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Advantaged Geographic Exposure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the capabilities of our highly adaptable fleet are further amplified by our strategic focus on select deepwater and ultra-deepwater markets, which maximize opportunities for our vessels by allowing us to evaluate commercial alternatives in protected markets across various end-markets. The geographic locations in which we operate have been strategically chosen based upon their historical and forecasted industry activity, substantial hydrocarbon reserves, range of marine transportation service requirements and, importantly, the vessel supply and demand dynamics created by local regulatory protections known as cabotage laws. In these more restrictive markets, competition is limited to select service providers who can meet indigenous vessel flagging, crewing and ownership requirements, creating not only limits on vessel supply but also tremendous visibility into industry supply and demand dynamics. We have positioned our fleet, including flagging status of certain vessels, to take advantage of such opportunities. This helps us to execute a highly differentiated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commercial strategy that optimizes vessel deployment by allowing us to dynamically evaluate prevailing macroeconomic and industry trends, local customer demand and vessel dayrate and contract terms to strategically deploy our assets in a manner that achieves higher average dayrates and margins than our domestic public peers.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core geographic markets include the United States and Latin America. Across each of these markets, we provide our customers with a range of maritime transportation services covering a variety of customer end-markets. We predominantly serve our oilfield customers in the GoA, the Caribbean, Northern South America and Brazil, while our vessels serving non-oilfield customers primarily operate along the East and West Coasts of the United States and the U.S. GoA. When not operating in Mexico, we operate our Mexican-flagged vessels across the U.S., Caribbean, Northern South America and Brazil, as well as in other international markets, utilizing a highly-skilled workforce of Mexican mariners and shore-side support teams that have been trained in our safety systems and culture.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map illustrating our active vessel locations as of December 31, 2025, is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831080" cy="5597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31080" cy="5597525"/>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Jones Act and other cabotage laws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strategically choose to compete in what we believe are advantaged geographic locations by focusing on cabotage-protected markets that provide favorable supply and demand dynamics for our vessels. Our 57 U.S.-flagged vessels are all Jones Act-qualified. The majority of our U.S. operations are subject to the provisions of the Jones Act, which, subject to limited exceptions, restricts maritime transportation of passengers or merchandise between points in the U.S. to vessels that are: (a) built in the United States; (b) registered under the U.S. flag; (c) crewed by U.S. citizens or lawful permanent residents; and (d) owned and operated by U.S. citizens within the meaning of the Jones Act. Based on publicly available information compiled by us and data provided by Spinergie, the supply of Jones Act-qualified vessels in the U.S. GoA consists of only 74 active high- and ultra high-spec Jones Act-qualified OSVs in the U.S. GoA as of December 31, 2025. Of this limited supply, Hornbeck owns 19% of the market, as measured by DWT capacity, representing the second largest such fleet in the industry. Mexico and Brazil each have their own cabotage laws that provide varying levels of insulation from foreign sources of competition that may be unwilling to invest capital or otherwise satisfy local ownership, crewing, tax and/or build requirements. As such, cabotage-protected markets create meaningful barriers to entry for foreign-flagged vessels.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Customer End-Markets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market for OSVs and MPSVs has changed dramatically over the last decade, driven by vastly more complex offshore oil and gas production requirements in deepwater and ultra-deepwater regions, requiring highly-capable vessels. Moreover, such shifts in oilfield demand fundamentals have been complemented by incremental demand from emerging non-oilfield customer markets, including military support services, renewable energy development, HADR, aerospace and other non-oilfield service offerings that can benefit from the capabilities of our unique vessel classes. In response to changing market conditions and customer demand, we regularly transfer vessels between and within our core geographic regions and adapt equipment and features of our vessels to best meet potential revenue opportunities. Each customer market has specialized service needs and vessel requirements and we believe our flexible fleet enables us to adapt to changing demand across our markets. Historically, most of our revenues were generated by deepwater and ultra-deepwater oil and gas drilling support activities; however, for the nine months ended September 30, 2025, only 35% of our revenues were attributed to oil and gas drilling support activities. The remaining approximately 65% of our revenues were generated away from the drill bit, with approximately 32% coming from oilfield specialty services, including offshore IRM, subsea construction and equipment installation, as well as decommissioning and plugging and abandonment work, approximately 19% coming from military support services and approximately 14% coming from other non-oilfield support services, including offshore wind development, construction and support services. As we continue to diversify our customer markets, we expect the non-oilfield markets to continue contributing a significant portion of our revenues in the future.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Oilfield End-Markets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Oilfield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predominantly serve our oilfield customers in the U.S. GoA, Mexico, the Caribbean, Northern South America and Brazil, where over 70% of global deepwater reserves are located. Our vessels provide support to offshore oil and gas exploration and production companies in two key areas: (i) oilfield specialty services and (ii) oilfield drilling support. In combination, we offer our oilfield customers a comprehensive range of vessel types and “life-of-field” service offerings that cover the entire value chain of offshore hydrocarbon development. Additionally, we operate a shore-based port facility located in Port Fourchon, Louisiana, from which port city 95% of all U.S. GoA oil and gas production is serviced. At our facility, we can stage modular equipment and cargos in support of such services and can also perform some of our own maintenance, outfitting and other in-the-water topside shipyard repair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Oilfield Specialty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Oilfield Specialty services support ongoing or recurring oilfield activities, such as subsea equipment installation services, IRM, flowback, well testing, pipeline flushing, decommissioning, and worker accommodations and transportation. As of September 30, 2025, oilfield specialty services accounted for 39% of our trailing twelve-month revenues. Among other services, these contracts can include operational logistics for offshore infrastructure projects, subsea equipment deployment, midstream pipeline installation support, and ROV and subsea maintenance operations. We are able to compete for these contracts because of the nature of our high- and ultra high-spec vessels, especially our MPSVs, which incorporate advanced and specialized technologies to fulfill a wide range of needs in the offshore oilfield life cycle beyond drilling activities. Growing our oilfield specialty business has enabled us to leverage our years of offshore energy expertise while reducing exposure to potential volatility in the offshore drilling market.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Oilfield Drilling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Oilfield drilling support provides services that are specifically related to offshore drilling and production activities. This includes the transportation of drilling equipment, such as wellheads and drill pipe, as well as drilling fluids and other dry bulk products used in the development of new exploration and development wells and their subsequent production activities. As of September 30, 2025, drilling support services accounted for 30% of our trailing twelve-month revenues. While our business mix has diversified into a higher weighting on oilfield specialty in recent years, we have decades of experience in drilling support operations and believe we are well-positioned to capitalize on any inflection points in oilfield drilling activity in the years ahead. Operational offshore drilling rigs require frequent service from OSVs for delivery of supplies and personnel, among other services. Our ability to compete in cabotage-protected markets also allows us to service drilling support contracts that some competitors may not be able to access.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Non-Oilfield End-Markets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Military Support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2006, we have been a prominent, private-sector service provider to the U.S. military by delivering vessels that support readiness and security. We support our U.S. government customers, which require the use of U.S.-flagged, Jones Act-qualified, high specification OSVs and MPSVs, in two key service offerings primarily from the East and West Coasts of the United States. We provide ongoing operation and maintenance of four highly specialized OSVs (which we previously developed, constructed, and sold to the U.S. Navy) via a long-term O&amp;M contract. We also own, operate and charter vessels that provide submarine supply services, rescue and recovery capabilities, transportation services and training drills. Our military service capabilities are a growing component of our service portfolio and military support is a customer end-market that is of particular importance to us given the stability provided by the U.S. government’s desire to execute long-term service agreements with qualified private contractors. We have received approximately $105.5 million, $116.2 million and $104.7 million of revenue for military support services for the years ended 2023 and 2024 and for the nine months ended September 30, 2025, respectively. Since 2023, we have operated as many as 12 vessels in service to the U.S. military, including the four vessels we operate for the U.S. military under an O&amp;M contract.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Renewable Energy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Renewable energy, and particularly offshore windfarms and infrastructure, is in its early stage of development in the U.S. and represents an emerging market for our services. Certain of the development and maintenance aspects of U.S. offshore windfarms require the use of U.S.-flagged, Jones Act-qualified, high specification OSVs and MPSVs, for which we are well-positioned to offer our services. Should this industry receive the necessary levels of regulatory support and capital investment, we believe that vessels such as ours will be critical across all stages of the offshore windfarm development cycle, including installation support,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geophysical survey, vessel support for testing and operations maintenance and repair. As of September 30, 2025, 12% of our trailing twelve-month revenues were generated from support of renewable energy projects. We believe that such services will eventually be required on both the East and West Coasts of the U.S., as well as in the U.S. GoA. During 2025, we have operated as many as eight vessels in service to offshore wind customers.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Other Non-Oilfield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versatility of our vessels allows us to support communities in our core geographic areas by providing other non-oilfield services, including HADR,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In such circumstances, our flotels are often used to house emergency first responders. Additionally, our vessels are equipped to support aerospace launches that call for rocket component landing and recovery capabilities.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Collectively, our oilfield and non-oilfield customer markets provide a diverse platform from which we can leverage the capabilities of our vessels and creatively deploy them with customers to serve new markets or high-need service areas, such as the installation, testing and retrieval of fiber-optic cable for telecommunications and oceanographic research. We believe that the diversification benefits that come from servicing a broad range of customers reduces the potential variability in our operating performance.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Continued diversification of the customer markets we serve has and will continue to allow us to strategically move vessels to the end-markets that provide the most attractive chartering opportunities. Focusing on increased diversification away from the more volatile offshore drill bit has allowed us to continue reducing dependency on the offshore drilling rig count and grow revenues despite the flat active floating rig count in the U.S. GoA in recent years. The selective nature of our fleeting strategy maximizes our OSV average dayrates, which are 52% higher than those of our public peers across the past 19 quarters. Over the past 25 years, Hornbeck has achieved an average gross margin on our OSVs of nearly 20 percentage points higher than that of our domestic public peers.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Industry Overview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Offshore Exploration and Production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Over the last three decades, the offshore oil and gas industry has undergone significant technological change, marked by an ability to explore and produce hydrocarbons in deepwater and ultra-deepwater regions. These areas contain some of the largest hydrocarbon reserve deposits anywhere in the world with drillable-prospect inventory that is expected to last decades. Since 2021, our oilfield customers have announced 24 new deepwater and ultra-deepwater offshore discoveries with expected reserves totaling approximately 840 million barrels.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Globally, most deepwater and ultra-deepwater offshore drilling activity is concentrated in the GoA, South America (largely dominated by Brazil and more recently, Guyana) and West Africa. Based on Rystad industry data as of September 2025, just over 70% of global deepwater and ultra-deepwater hydrocarbons are located in the GoA and South America. Moreover, per the Bureau of Safety and Environmental Enforcement (“BSEE”), average deepwater and ultra-deepwater well-depths have been on an upward trajectory creating significant demand for high- and ultra high-spec OSVs and MPSVs, which are well-positioned to service larger, more logistically remote projects given their versatile capabilities, greater storage capacities, larger deck space, and leading-edge technologies. Deepwater and ultra-deepwater offshore activity is economically advantaged compared to other non-conventional sources of hydrocarbons, such as shale oil, due to lower breakeven prices. Based on Rystad industry data as of September 2025, 90% of offshore proven and probable reserves are economic when crude oil prices are at or above $50.00 per barrel, compared to an average break-even price of approximately $60.00 for shale oil in the United States. As a result, offshore activity is expected to be resilient to oil price fluctuations at and above $50.00 per barrel.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 to Rystad industry data as of September 2025 and other sources, demand for oilfield specialty services, especially those that our MPSVs are equipped to provide, is expected to remain strong. Years of under-investment and deferred maintenance and repair, coupled with the installation of new offshore infrastructure, is driving the backlog for our Engineering, Procurement and Construction customers to historic highs. Rystad forecasts the installation of over 1,900 subsea well-heads globally through 2030, 47% of which are expected to be installed in our core geographic regions, particularly Brazil, which is an indicator of subsea specialty demand. Based on such forecasts, our core operating regions are expected to benefit the most from subsea and other installation projects. Rystad also forecasts that offshore rig counts in Hornbeck’s core markets will increase approximately 8% through 2028. Contracted drilling rigs that provide exploration and drilling services to major exploration and development companies are a key leading indicator to OSV demand as each rig working to drill a well requires several OSVs to service it with equipment and supplies. The number of OSVs required to support a drilling rig depends on many factors including the type of drilling activity, the depth and development stage of the well, and the location of the rig. Typically, during the initial drilling stage, more OSVs are required to supply drilling mud, drill pipe, and other materials than at later stages in the drilling cycle. On average, and based on recent trends in active offshore drilling rigs and OSVs, we believe a typical offshore drilling rig requires approximately two to four OSVs to provide ongoing services at any one time with select infrastructure-remote areas such as Brazil and the Caribbean occasionally requiring a greater number of OSVs per drilling rig due to greater logistical challenges in those open-ocean markets resulting in longer vessel turnaround times.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of vessels provides logistics support and specialty services to the offshore oil and gas exploration and production industry, primarily in the GoA, the Caribbean, Northern South America and Brazil, as well as non-oilfield specialty services for the U.S. military and other non-oilfield service customers primarily in the U.S. GoA and from the East and West Coasts of the United States. The United States, Mexico and Brazil have strict cabotage laws that provide us varying levels of insulation from foreign sources of competition that may be unwilling or unable to invest capital or otherwise satisfy local ownership, crewing, tax and/or build requirements. As such, cabotage-protected markets create meaningful barriers to entry for foreign-flagged vessels. We have vessels flagged in each of these three jurisdictions and, due to treaties or other legal benefits, we are regularly able to move vessels and/or crews among these jurisdictions more efficiently than most other operators.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Below are more detailed descriptions of the industry dynamics impacting our core Oilfield Services operating markets: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U.S. GoA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U.S. GoA continues to be a world-class hydrocarbons basin, attracting significant capital from oil and gas exploration and production companies. Based on Rystad industry data, U.S. GoA offshore rig counts have increased from 16 to 21 rigs from 2021 to 2024 and are expected to remain between 19 and 20 rigs through 2028. Similarly, U.S. GoA offshore well counts are expected to increase every year from 2025 through 2028 with an average CAGR of approximately 2.4%. Due to higher cost, greater complexity and longer equipment and permitting lead times compared to conventional onshore drilling, offshore projects are characterized by long-cycle planning and investment horizons. This dynamic results in greater stability and resilience through commodity price cycles. Historically, onshore rig counts are more variable during periods of commodity price volatility than offshore rig counts, especially in deepwater and ultra-deepwater regions.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heightened focus on low carbon-intensity production has also highlighted the attractiveness of the U.S. GoA and its lower global greenhouse gas (“GHGs”) emissions intensity (CO2e/kboe) relative to other global offshore basins. According to Wood Mackenzie’s Emissions Benchmarking Tool, U.S. Gulf of America Deepwater’s weighted average emissions intensity in 2025 was 7.48 tCO2e/kboe compared to a global weighted average of 21.88 tCO2e/kboe. As a result, we believe that the U.S. GoA will continue to be an area that attracts investment and production by the large oil and gas producers that consider carbon intensity in investment decisions.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Mexico GoA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Mexico appears to hold significant promise as a deepwater and ultra-deepwater basin in the future, recent political setbacks and administrative challenges have frustrated plans for investment by non-Mexican oil and gas companies. PEMEX is the national energy company in Mexico and dominates exploration and production of hydrocarbons in Mexico. PEMEX has been beset by financial and operational difficulties for several years, resulting in a significant level of debt and non-payment of vendors, including offshore service companies. We have not worked directly for PEMEX for several years, however, we do work for PEMEX contractors that have direct credit exposure. In September 2025, the Government of Mexico issued approximately $14 billion of debt to recapitalize PEMEX and address a portion of its financial indebtedness. PEMEX is believed to be one of the most indebted state-owned oil companies worldwide and the Government of Mexico’s recapitalization initiative provides relief from many of its upcoming bond maturities and other short-term liabilities. As a result of the recapitalization, PEMEX should be better positioned to deliver operationally and provide timely payments to service providers.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Given these industry challenges in Mexico and the curtailment of Mexican cabotage generally, during the fourth quarter of 2023 and first quarter of 2024 we deployed all of our Mexican-flagged OSVs outside of Mexico across our other core markets. These vessels are operated by highly skilled Mexican mariners that have provided safe and high-quality operations to our customers. Due to our strategic focus on proximate areas in which we operate, we were able to continue to deliver significant operational and commercial success with our Mexican fleet, despite a recent lack of opportunity in Mexico. We expect to resume operations in Mexico with three OSVs in the first quarter of 2026 in support of an integrated oil company.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Brazil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Rystad industry data, Brazil is expected to receive the most deepwater and ultra-deepwater oil and gas investment worldwide between 2025 and 2028. Brazil has seen a significant increase in investment in its upstream resources from private exploration and production companies since the 2014 downturn, when state oil company Petrobras began selective asset sales to address its balance sheet issues. Supported by the current oil price environment, many large international oil companies, as well as local independents, are investing in deepwater and ultra-deepwater exploration and development activities. Additionally, Petrobras has publicly announced plans to spend approximately $77 billion on exploration and production activities from 2025 through 2029.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offshore rig count in Brazil has increased to 33 rigs in 2025, a 37% increase from 2023 levels, making Brazil the largest deepwater oil and gas market. In addition, Rystad industry data anticipates rig count levels remaining near 2025 levels through at least 2028. This increase in activity has required additional vessels to mobilize to the area. To support new vessel tenders from Petrobras, Brazilian vessel owners have ordered 12 new OSVs to be constructed to address increasing demand in the region. As of December 31, 2025, 10 U.S. Jones Act high- and ultra high-spec vessels have relocated from the U.S. GoA to Brazil in order to help fulfill the current and expected incremental demand in that region. Based on various data compiled by us, oilfield specialty services in Brazil are being driven by significant subsea investment and the projected addition of 11 floating production storage and offloading vessels over the next four years, and Brazil represents the largest portion of expected growth in subsea services globally over the next several years.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Caribbean and Northern South America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Caribbean and Northern South America are developing markets for deepwater and ultra-deepwater exploration and production. Activity in the region is primarily focused in the Guyana-Suriname basin, but also includes Colombia, Trinidad and occasionally other Caribbean islands. Due to its proximity to the U.S. GoA and the Mexico GoA and the open-ocean offshore operating environment, high-spec and ultra high-spec U.S.-flagged and Mexico-flagged OSVs are ideally suited to serve customers in this region. Currently, roughly 46% of the OSVs operating in this area are U.S.-flagged.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Since the discovery of the Liza-1 well in 2015, the Guyana-Suriname basin has become one of the fastest growing deepwater and ultra-deepwater exploration markets in the world. In September of 2025, ExxonMobil announced the final investment decision, or FID, for the Hammerhead development offshore Guyana, resulting in total investment surpassing $60 billion across the Stabroek block development. ExxonMobil is producing 650,000 barrels of oil per day from the Stabroek block, with Hammerhead expected to add up to an additional daily output of 150,000 barrels per day from 18 production and injection wells. According to published data from ExxonMobil, the Stabroek Block’s gross discovered recoverable resource estimate exceeds 11 billion barrels of oil equivalent. In October of 2024, TotalEnergies, along with partner APA Corp., announced FID for Block 58 in Suriname, dubbed the GranMorgu project, which they estimate to hold recoverable reserves of over 750 million barrels of oil equivalent.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2025, there were nine offshore rigs operating in this region. According to Rystad industry data, this number is expected to increase to 11 offshore rigs by 2029. These activity levels will require additional vessels to mobilize to the area to support the increased drilling activity. We believe that additional U.S.-flagged vessels with their high liquid mud-carrying capacities are well-suited to support these new drilling programs. As of December 31, 2025, 16 U.S. Jones Act high- and ultra high-spec vessels have relocated from the U.S. GoA to the Caribbean and South America in order to fulfill the current demand in those regions.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Non-Oilfield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Beyond Oilfield Services, our vessels are actively involved in the support of critical offshore activities in our core geographic regions, including military services, renewable energy development and other non-oilfield service offerings. As of December 31, 2025, 11 of our U.S. Jones Act-qualified high- and ultra high-spec vessels were working in military, offshore wind, aerospace or other industries. These non-oilfield markets have had a material impact on an already tight U.S. Jones Act market. Below are more detailed descriptions of the industry dynamics within each of these emerging customer end-markets: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Military Support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United States has relied on private vessel owners and operators comprising the U.S. Merchant Marine to provide vessels that support U.S. military readiness and security, as well as peacetime and wartime services. We provide such support primarily from the East and West Coasts of the United States. The use of specialized vessels, including OSVs and MPSVs, has increased as the broad utility of these vessels has been recognized by government customers, particularly the U.S. Navy. Further, the Trump Administration has repeatedly acknowledged the need for more commercial U.S.-flagged vessels to support military operations. We believe the opportunities for additional military use could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 offerings for the U.S. Special Operations Command, the organization tasked with overseeing the various special operations of the U.S. Army, Marine Corps, Navy and Air Force;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O&amp;M contract opportunities;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support for a growing fleet of U.S. Navy vessels.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Military support services represent a significant growth opportunity beyond the oilfield for select Jones Act-compliant vessel operators, such as Hornbeck. Military operations require Jones Act-qualified vessels thereby creating cabotage protections for this work and provide a diversified customer market that counterbalances oilfield volatility and generally comes with longer tenor contracts (generally more than three years). We have recently grown our military support service offerings and expect them to continue to grow in the future.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Renewable Energy Development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offshore wind market is in its early stage of development and shows potential as an emerging market for our services in the U.S. GoA, as well as certain areas on the East and West Coasts of the United States. Field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surveying, construction and operation for offshore wind require many of the core competencies and vessel specifications used in oilfield services, creating opportunities for legacy oilfield vessel providers to service this market. Moreover, many of the wind farms developed in domestic U.S. waters will require Jones Act-qualified vessels thereby creating cabotage protections for this work.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Vessel requirements for offshore wind development typically span three distinct phases: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Pre-Construction Surveying: </w:t>
            </w:r>
            <w:r>
              <w:rPr>
                <w:rFonts w:ascii="Times New Roman" w:hAnsi="Times New Roman"/>
                <w:sz w:val="20"/>
              </w:rPr>
              <w:t xml:space="preserve">This phase of development requires surveying vessels to ascertain sea bottom, sea state, and wind conditions, as well as site clearing for potential project development. Examples of such services include removal of boulders and unexploded ordnances on the seabed, as well as providing sound barriers to protect sea mammals from offshore wind construction activities and noise.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Construction and Installation: </w:t>
            </w:r>
            <w:r>
              <w:rPr>
                <w:rFonts w:ascii="Times New Roman" w:hAnsi="Times New Roman"/>
                <w:sz w:val="20"/>
              </w:rPr>
              <w:t xml:space="preserve">This phase of development is the most intensive and will require service vessels to execute and support a range of tasks including foundation, monopile, and wind turbine installations, cable laying, installation of electrical transmission lines between field units and the onshore/offshore electric grid, and the transportation and housing of construction and installation crews, among others.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i/>
                <w:sz w:val="20"/>
              </w:rPr>
              <w:t xml:space="preserve">Ongoing Service and Maintenance: </w:t>
            </w:r>
            <w:r>
              <w:rPr>
                <w:rFonts w:ascii="Times New Roman" w:hAnsi="Times New Roman"/>
                <w:sz w:val="20"/>
              </w:rPr>
              <w:t xml:space="preserve">This phase will require vessels to provide ongoing service and maintenance to offshore wind infrastructure assets including crew and equipment transfers, asset retrofitting and replacement, and ongoing infrastructure monitoring services.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Trump Administration has announced and taken several actions that could delay or cause the cancellation of several offshore wind projects. Despite these actions, ongoing or completed projects are likely to proceed and continue to create demand for domestic offshore maritime services. Our fleet is capable of handling the full array of services required for offshore wind construction, installation and maintenance. We know of only three Jones Act-qualified SOVs or CSOVs that have been delivered or are under construction. Thus, we believe these types of vessels, which are uniquely suited for offshore wind projects, will be utilized for the projects unaffected by the current administration’s actions. Additionally, due to muted supply increases, these types of vessels may be under-supplied if offshore wind construction is restarted following the moratorium that has been in place since January 2025. However, continued growth of the offshore wind market in the U.S. is not guaranteed and is subject to change, and we intend to continue monitoring such market closely.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Other Non-Oilfield Services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multiple areas of growth in other non-oilfield services, including but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HADR</w:t>
            </w:r>
            <w:r>
              <w:rPr>
                <w:rFonts w:ascii="Times New Roman" w:hAnsi="Times New Roman"/>
                <w:sz w:val="20"/>
              </w:rPr>
              <w:t xml:space="preserve">: Because of the versatility of our vessels, we are often contracted as part of the response to an offshore crisis, including as service support for the Federal Emergency Management Agency. In the past, we have supported oil spill relief, non-oilfield hurricane relief, aircraft disasters, vessel and other equipment salvage and other post-disaster recovery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i/>
                <w:sz w:val="20"/>
              </w:rPr>
              <w:t>Aerospace</w:t>
            </w:r>
            <w:r>
              <w:rPr>
                <w:rFonts w:ascii="Times New Roman" w:hAnsi="Times New Roman"/>
                <w:sz w:val="20"/>
              </w:rPr>
              <w:t xml:space="preserve">: Our vessels are equipped to support aerospace launches that call for rocket component landing and recovery capabilities. In addition, we have supported the aerospace industry through vessel crewing and other vessel management agreements.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Telecommunications</w:t>
            </w:r>
            <w:r>
              <w:rPr>
                <w:rFonts w:ascii="Times New Roman" w:hAnsi="Times New Roman"/>
                <w:sz w:val="20"/>
              </w:rPr>
              <w:t xml:space="preserve">: Our vessels can also be retrofitted to support the installation, testing and retrieval of fiber-optic 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Oceanographic Research</w:t>
            </w:r>
            <w:r>
              <w:rPr>
                <w:rFonts w:ascii="Times New Roman" w:hAnsi="Times New Roman"/>
                <w:sz w:val="20"/>
              </w:rPr>
              <w:t xml:space="preserve">: Our vessels have been utilized in a variety of offshore research projects, including wave energy studies and support for weather buoy installation and maintenance, among others.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Competitive Strengths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Large and diverse fleet of technologically advanced high-spec and ultra high-spec vessels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Over the past 28 years, we have assembled a multi-class fleet of 59 OSVs and 15 MPSVs through a total of six serial multi-vessel newbuild programs and eight consolidating acquisitions of one or more vessels. Since 2014, we have focused on expanding our line of high-spec and ultra high-spec vessels, increasing our fleet of such vessels from 41% of our fleet in 2014 to nearly 75% of our fleet in 2025. High-spec and ultra high-spec vessels are typically the youngest vessels available in the industry, incorporate sophisticated technologies that are designed specifically to operate safely in complex and challenging environments, and are equipped with specialty equipment and other features to respond to the needs of our customers through the project development and operational lifecycle of an offshore oilfield. These technologies include DP, roll-reduction systems and controllable pitch thrusters, which allow our vessels to maintain a fixed position with minimal variance. Our cargo-handling systems permit high-volume transfer rates of liquid mud and dry bulk materials. In addition, we are able to outfit our vessels with specialty equipment and certain features as needed for specific projects. The greater fuel efficiency, larger cargo-carrying capacity, advanced mud-handling systems and other technical features of our high-spec and ultra high-spec vessels enhance offshore project efficiency and create a compelling value proposition for our customers. As a result of our fleet mix, in-house engineering capabilities, shore-base facility, modular equipment inventory, operations history and market strategies, we believe that we earn higher average dayrates compared to our competitors. According to industry data from Fearnley Offshore Supply, our average dayrates were 41%, 20% and 42% higher than the global average term rates of comparably sized vessels owned by other operators in 2023, 2024, and the nine months ended September 30, 2025, respectively.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active fleet is comprised of some of the newest vessels in the industry, with an average remaining life of 21 years based on a 35-year economic useful life. The modern composition of our fleet drives lower maintenance capital requirements and should allow us to maximize both the margin potential and free cash flow generation of our active asset base.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Leading presence in the United States and Latin America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Hornbeck was established in 1997 and has one of the most capable and high-spec fleets of vessels in the industry. Based on publicly-available information compiled by us and data provided by Spinergie, we believe that our fleet of 40 high-spec and ultra high-spec OSVs, totaling 213,019 in DWT capacity, represents 6.1% of the 3,500,541 total DWT capacity of such vessels in the world, making Hornbeck the third largest fleet out of 174 companies that own and operate high-spec or ultra high-spec OSVs worldwide. Furthermore, we believe that our fleet of 14 U.S.-flagged ultra high-spec OSVs, totaling 86,610 in DWT capacity, represents the largest fleet of such vessels in the United States, as measured by DWT capacity. Additionally, we are one of the top operators of OSVs, based on DWT capacity, in each of our two core geographic regions, which includes 2,373,601 DWT capacity and constitutes 41.5% of the total supply of 5,719,354 DWT capacity to such markets. Our 45 U.S.-flagged OSVs, totaling 202,714 in DWT capacity, comprise the second largest fleet of technologically advanced, OSVs qualified for work in the U.S. under the Jones Act. As of December 31, 2025, our active fleet of OSVs and MPSVs consisted of 30 vessels operating in the U.S. and 16 vessels operating in Latin America as follows: (i) 14 U.S.-flagged OSVs, one Mexican-flagged OSV and six MPSVs in the U.S. GoA, (ii) three OSVs and three MPSVs throughout the U.S. Atlantic, (iii) two OSVs and one MPSV in the U.S. Pacific, (iv) nine OSVs offshore Brazil, (v) two OSVs offshore Suriname, (vi) two OSVs offshore Colombia and (vii) two OSVs and one MPSV offshore Mexico. We believe that having scale in our core markets with the flexibility to transfer vessels among proximate regions benefits our customers and provides us with commercial optionality and operating efficiencies.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Diversified service offerings and customer markets provide greater stability to cash flows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well-established relationships with leading oilfield and non-oilfield companies, as well as the U.S. government, and believe these recurring customers will continue to require our diversified service offerings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oilfield and non-oilfield markets. Our diversified service offerings allow us to adapt to our customers’ evolving needs and gives our customers confidence to commit to longer-term contracts for our services, in turn providing us greater cash flow stability. Additionally, these large, integrated customers are financially stable and can better withstand economic or market downturns in a volatile market, and we believe maintaining relationships with these long-standing customers will ultimately result in better visibility to vessel utilization and greater liquidity for us in the future.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Attractive non-oilfield growth opportunities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fleet of technologically advanced high-spec and ultra high-spec vessels is increasingly being deployed to serve the growing needs of the U.S. Military, renewable energy, and aerospace industries. Most of these high-growth markets require U.S.-flagged Jones Act-qualified vessels, which can be custom tailored to address a broad spectrum of services. For these applications, our vessels are typically contracted for more than three years, providing a counter-balance to cyclicality experienced in our oilfield end-markets.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Robust Free Cash Flow Generation Potential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result of our growing fleet, differentiated business model, diverse service offerings and varied end-customer relationships, we have generated consistently increasing total revenue since 2022 and we believe our fleet quality and commercial strategy will continue to allow us to achieve dayrates and margins in excess of our public peers. Relative to our margins, modest amounts of capital are required to maintain the quality and availability of our vessels. As a result of our financing activities completed in 2024, our balance sheet is conservatively capitalized with ample liquidity and modest amortizing long-term debt with nominal call protection. Together, these components position us to continue generating substantial free cash flow on an annual basis.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Strong market position due to qualification under the Jones Act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With one of the largest fleets of the most capable and highest capacity Jones Act-qualified vessels, we believe Hornbeck is well-positioned to capitalize on increasing demand for such vessels. The United States has strict cabotage laws that provide insulation from most sources of foreign competition for our U.S. fleet for coastwise services.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Successful track record of strategic newbuild programs and vessel acquisitions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assembled our fleet through a combination of strategic newbuilds and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This expertise has aided in the development of two pending newbuild MPSVs set to be delivered in 2027. Given their robust specifications and capabilities, these vessels are expected to provide meaningful revenue contribution in the future with minimal additional growth capital required. From time to time, we consider opportunistic acquisitions of single vessels, vessel fleets, and businesses that strategically complement our existing operations to enable us to grow our business and better serve our customers. Since 2017, we have successfully completed the acquisition of 19 high- and ultra high-spec OSVs. Over that same time period, we have completed the sale of 17 OSVs, all of which were stacked low, mid and high-spec vessels, for aggregate net proceeds of $38.1 million, resulting in an aggregate net gain of $36.4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Complementary Shore-Based Assets and Highly-Skilled In-House Engineering Personnel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our fleet of OSVs and MPSVs, we own and operate complementary shore-based infrastructure assets and employ highly-skilled maritime engineering personnel who facilitate maintenance of our vessels and deliver highly customizable solutions for our customers. Central to this differentiated portfolio is HOS Port, a 66-acre shore-based facility in Port Fourchon, Louisiana boasting nearly 3,000 linear feet of proprietary dock space providing staging, storage, dispatch, and dockage services for our fleet. In addition, our HOSLIFT 7,700 mT floating drydock vertically integrates our maintenance regimen, increasing flexibility and providing negotiating leverage with shipyards in the region. HOS Port is also home to HOS Rental Equipment, a portfolio of 52 customization modules that can be deployed in a plug-and-play fashion to efficiently customize our vessels to the needs of a particular project or client. These modules include specialized service equipment including A-frames, winches, and cranes, as well as “Walk-to-Work” gangways and accommodation annexes (e.g., berthing, laundry, galley, office, lounge, and gym facilities).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extensive infrastructure and customization modules allow our in-house team of naval architects and marine engineers to design a vessel’s loadout to the exact specifications of a project. This integration provides us with the ability to pursue more diversified end-markets that require bespoke solutions outside of traditional transportation operations. This value proposition was exemplified on the HOS Briarwood where we converted a 310 class Jones Act OSV to a MPSV with berthing for 130 personnel, a 100 mT crane, and an S-92 compatible helideck. The conversion took approximately 207 days and required investment of $13 million. As a result, the average dayrate of this vessel increased from $37,000 per day to $78,000 per day, implying a 1.6-year payback period. When assessed against the cost and timeline of newbuild construction, we are positioned to meet demands that arise in the market more quickly and economically, allowing us to capture value as it arises.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Further, our work with the Government of the United States requires certain levels of security clearances which are difficult to obtain. We and certain personnel possess required clearances to participate in government tendering for certain highly sensitive projects with national security implications.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Experienced management team with proven track record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founder-led executive management team has an average of nearly 40 years of domestic and international marine transportation industry-related experience and has worked together at the Company for over 21 years. Our executives are supported by a senior leadership team that we believe has extensive continuity and industry experience that will help to sustain our business and drive long-term growth well into the future. Our team is comprised of individuals with extensive, global experience with backgrounds across many diverse fields including engineering, project management, military service, finance, accounting, tax, legal, risk management and corporate leadership. We believe that our team has successfully demonstrated its ability to grow our fleet through new construction and acquisitions and to secure profitable contracts for our vessels in both favorable and unfavorable market conditions in domestic and foreign markets.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Strategy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Pursue differentiated customer offerings to optimize active vessel utilization and free cash flow generation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seek to balance and diversify our service offerings to customers, to optimize our vessel utilization and stabilize our free cash flow generation. For example, in addition to our long-term charters in oilfield services and with military and renewable energy customers, which contribute to contracted backlog and provide utilization stability, we also seek out short-term charters such as spot oilfield and non-oilfield services that typically have higher dayrates. We believe that we are uniquely positioned to execute on this strategy due to the high-spec and diverse nature of our fleet, as well as our ability to quickly adapt vessels to the needs of our customers utilizing our engineering capabilities and shorebase facilities. This contracting strategy balances our financial profile between longer-term charters and the flexibility to capture then prevailing dayrates in a rising market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portion of our fleet. Our current contracting approach allows us to consistently perform well against our OSV peers when comparing average OSV dayrates and gross margins. The flexibility of our vessel capabilities is designed to optimize our utilization and allows us to pivot in response to market conditions and customer needs, which can lead to more stable free cash flow generation. We believe the benefits of this contracting strategy are enhanced further in the cabotage-protected geographic locations in which we operate, where our cutting-edge vessels and ability to adapt our fleet stand out even more amongst the more limited set of cabotage-compliant competitors.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Leverage our geographic presence in the United States and Latin America and grow industry leading service capabilities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strategically chosen to focus our efforts in two core geographic regions, the United States and Latin America. While the U.S. GoA will continue to be a priority for us, in recent years we expanded our presence in each of the Mexico GoA, the East and West Coasts of the United States, the Caribbean, Northern South America and Brazil, as we anticipate long-term growth in those markets. Given the relative proximity of these markets, we are able to readily move our vessels among them and retain flexibility to relocate those vessels back to the U.S. GoA or into adjacent locations across our operating regions. We believe this allows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25% of the total industry supply of such vessels, as measured by DWT capacity. Our vessels have been adapted to operate in a broad range of oilfield specialty configurations, including flotel services, extended-reach well testing, seismic, deepwater and ultra-deepwater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Apply existing, and develop new, technologies to meet our customers’ vessel needs and expand our fleet offerings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our founding, our vessel designs have evolved to incorporate ever-increasing levels of automation, machine-learning and autonomy across vessel systems that are now mostly electronically driven. For example, we leveraged our oilfield DP expertise to develop military applications that the U.S. Navy now consistently utilizes. Using increasing levels of automation and autonomy is now at the heart of our business model and such technologies help to reduce operational risk and enhance safety. Our future technological innovation should allow us to embrace semi- or fully-autonomous vessel operations for defense and commercial operations. Our in-house engineering team has been and will continue to be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oceanographic research, telecommunications and HADR customers. Further, we are readily able to reconfigure or retrofit existing assets with existing or new technology to participate in new customer markets such as offshore wind, aerospace and telecommunications. Specifically, we are currently deploying capital to upgrade certain of our vessels to dual-service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Focus on selective acquisitions that are strategically and financially accretive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most recently completed the acquisition of 12 high-spec OSVs, which we refer to as the ECO Acquisitions.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Maintain a conservative balance sheet, disciplined growth, and robust free cash flow generation through cycles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adhere to financial principles designed to maintain a conservative balance sheet, disciplined growth, and robust free cash flow generation. Our balance sheet strategy targets less than 1.0x financial leverage with ample excess liquidity available to withstand industry cycles or take advantage of attractive growth or commercial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growth strategy involves a disciplined screening of opportunities for differentiated assets that create competitive advantages and is focused on attractive returns and payback periods. Our cash flow generation abilities are centered around maintaining flexible costs and lean organizational structures that seek efficiencies through continuous operational improvement and working capital management.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Continued commitment to stewardship and safety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Safety is of great importance to us and other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GHGs. Additionally, since 2020, our focus on safely addressing operational risk has contributed to maintaining an industry low TRIR. Our most recent 5-year average TRIR was 0.11, outperforming peer averages from the International Marine Contractors Association (“IMCA”) and International Support Owners Association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Because DP excellence is a core competency of ours, we recently placed into service a high-tech DP simulator that provides an interactive and immersive training experience for current and future mariners who serve in DP officer (“DPO”) roles on our vessels. Configured to incorporate the controls and models of the three brands of DP systems that we use on our vessels, as well as to simulate four different specific vessel types and classes within our fleet, this highly customized design affords DPOs the opportunity to train on the same or substantially similar DP systems installed on our vessels. The simulator provides us with a sophisticated training platform from which to safely train our mariners. Our mariners are engaged in a virtual ship-like environment that can subject them to realistic failure situations in a controlled atmosphere, thus facilitating a dynamic learning process. Our DP simulator is designed to make training more efficient, cost effective and risk free, and ultimately provide an optimum outcome for trainees and the Company. The simulator is located at our headquarters in Covington, Louisiana.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also provide our chief shipmates and other engine-room personnel training on a land-based version of our onboard oily water separator unit, which enhances crew knowledge of a critical environmental safeguard and, we believe, fosters our culture of environmental stewardship and risk mitigation.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Creditor Warrant Repurchases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connection with the pricing of this offering, we intend to enter into warrant repurchase agreements, to be dated as of the date of this prospectus, with certain of the selling stockholders (the “Creditor Warrant Repurchase Agreements”). Pursuant to the terms of the Creditor Warrant Repurchase Agreements, immediately following the closing of this offering we will repurchase an aggregate of    Creditor Warrants from the applicable selling stockholders for an aggregate purchase price payable by us to the applicable selling stockholders equal to approximately $    million, assuming the number of shares offered by us, as set forth on the cover page of this prospectus, remains the same and an initial public offering price of $    per share (which is the midpoint of the estimated offering price range shown on the cover page of this prospectus) (each, a “Repurchase” and, collectively, the “Repurchases”). Under the Creditor Warrant Repurchase Agreements, the purchase price per Creditor Warrant payable by us will be equal to the product of (i) the price per share of common stock to be paid by the underwriters in this offering, less $    (the per share exercise price of the Creditor Warrants, after giving effect to the stock split), multiplied by (ii)   , the number of shares of common stock issuable upon full exercise of each Creditor Warrant (after giving effect to the stock split).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Repurchases are expected to occur substantially concurrently with the closing of this offering. The closing of each Repurchase is conditioned upon the consummation of this offering. However, this offering is not conditioned upon the consummation of any Repurchase, and none of the Repurchases are conditioned upon the consummation of any other Repurchase.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Framework Agreement with Saronic Technologies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January 5, 2026, we entered into a Framework Agreement (the “Framework Agreement”) with Saronic Technologies, Inc. (“Saronic”), a Delaware corporation specializing in the development and deployment of artificial intelligence, autonomous maritime technologies and unmanned surface vessels. The Framework Agreement establishes a collaborative relationship to advance innovation in autonomous vessel services and the scalable commercialization of such services in the offshore energy and defense markets.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evaluating how these technologies can be deployed to improve mariner safety, situational awareness, endurance and operational efficiency, and have also formed Hornbeck Offshore Autonomous Marine Solutions, LLC (“HOAMS”), into which we intend, but are not obligated, to commit resources, personnel and capital for research and development of autonomous maritime solutions.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HOS C/SOV + Flotel MPSV Delivery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July 2023, we announced that we had contracted Eastern to convert one of our U.S.-flagged, Jones Act-qualified, HOSMAX 280 class DP-2 OSVs acquired from the U.S. Department of Transportation’s Maritime Administration (“MARAD”) into a MPSV for dual-service as either a C/SOV or flotel to meet the growing demand of the U.S. offshore wind or oilfield markets for large personnel accommodations with “walk-to-work” capability. Following delivery from the shipyard in early November 2025, the converted vessel was placed into active service and will commence a charter to support an offshore wind project off the U.S. East Coast. The total cost of the conversion is estimated to be $96.0 million, including owner-furnished equipment, outfitting, engineering and overhead costs, which is significantly below the estimated newbuild cost of approximately $170 million. Our HOS C/SOV+Flotel MPSV is capable of providing services to the U.S. offshore wind market both during the commissioning phase of an offshore wind farm and during its operational life, as well as to offshore facilities engaged in the exploration and production of hydrocarbons.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2025 Tender Offer and MIP Repurchase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2025 Tender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November 17, 2025, we commenced an offer to purchase for cash up to an aggregate purchase price of $46.1 million of our common stock, Jones Act Warrants and Creditor Warrants at a price of $75.05 per security (less, solely with respect to tendered Creditor Warrants accepted for purchase in the offer, the applicable exercise price), which offer to purchase expired on December 16, 2025 (the “2025 Tender Offer”). Pursuant to the 2025 Tender Offer, 5,130,251 shares of common stock, 10,427,145 Jones Act Warrants and 1,399,564 Creditor Warrants were validly tendered and not withdrawn, and we accepted for purchase 187,536 shares of common stock, 404,226 Jones Act Warrants and 35,793 Creditor Warrants for an aggregate purchase price of approximately $46.1 million. We used cash on hand to fund the 2025 Tender Offer, and to pay fees and expenses related thereto.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2025 MIP Repurchases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December 2, 2025, we accelerated the vesting of an aggregate of 20,807 stock options, 33,218 restricted stock units and 5,201 performance stock units and repurchased from employees and non-employee directors of the Company the shares of common stock underlying such accelerated stock options, restricted stock units and performance stock units at a price equal to $75.05 per share (less, solely with respect to such options, the applicable exercise price) for an aggregate purchase price of approximately $4.2 million (such repurchases, the “2025 MIP Repurchases”). The 2025 MIP Repurchases were not made pursuant to the 2025 Tender Offer, and were open to all employees and non-employee directors that held stock options, restricted stock units and performance stock units. We used cash on hand to fund the 2025 MIP Repurchases.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MPSV Newbuild Construction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was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remaining original contract price to Eastern, excluding any approved change orders arising after the settlement date. There is no cap on the Surety’s completion cost. As of September 30, 2025, we have fulfilled our $42.6 million contractual obligation and the Surety has paid $139.0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Following physical delivery by the shipyard, each vessel is expected to undergo crane and other system installations and both vessels are expected to be available for commercial service in 2027. In addition to the fully satisfied $42.6 million contractual obligation, we expect to incur $87.1 million in the aggregate for outfitting, engineering, overhead and the post-delivery discretionary enhancements, of which $59.6 million solely relates to the purchase and installation of the cranes. As of September 30, 2025, we had incurred $21.9 million of such $87.1 million,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Mexico Cabotage Status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2023, Mexican regulators challenged our right to perform cabotage services in Mexico. As a result, we have taken legal and administrative actions to preserve our cabotage privileges there, and a Mexican court ordered that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privileges be reinstated. Despite this court ruling and SEMAR receiving confirmation from the Dirección General de Inversión Extranjera (“DGIE”) that we comply with its requirement for foreign investment, SEMAR refuses to take the necessary steps to recognize our cabotage privileges. Following the DGIE notification, we obtained further provisional relief from a Mexican court. In the first quarter of 2026, we expect three of our Mexican-flagged vessels to return to Mexico to perform services under a long-term charter with an integrated oil company.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Ongoing Acquisition/Investment Activities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acquisitions may require material investments and could result in significant modifications to our capital plans, both in the aggregate amount of capital expenditures to be made and a reallocation of capital. Our acquisitions (including the ECO Acquisitions completed between 2022 and 2024) are typically made for a purchase price which historically we have funded with a combination of borrowings, cash generated from operations and debt and/or equity issuances.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Summary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and uncertainties, including, but not limited to, those highlighted in the section titled “Risk Factors” and summarized below. We have various categories of risks, including risks relating to our business; risks relating to legal, regulatory, accounting and tax matters; risks relating to our indebtedness; and risks relating to this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These risks include, but are not limited to, the following: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derive substantial revenues from companies in the oil and natural gas exploration and production industry, which is a historically cyclical industry with levels of activity that are directly affected by the levels and volatility of oil and natural gas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may be impacted by changing macroeconomic conditions, including inflation.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operations of the Company’s business are subject to seasonal and other factors, which could cause volatility of our earnings from period to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Recently completed and future acquisitions by us may create additional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continue to comply with the Jones Act’s citizenship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complete the construction of our remaining two newbuilds and may experience delays related to such newbuilds.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highly competitive industry.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to industry concentrations, we have certain customer concentrations, and the loss of a significant customer would adversely impact our financial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early termination of or inability to renew contracts for our vessels could have an adverse effect on our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surrounding potential legal, regulatory and policy changes, as well as the potential for general market volatility and regulatory uncertainty, may have a material adverse effect on our results of operations, cash flows and financial position.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contracts with the United States government might not be renewed, may be renewed at lower rates or may impose additional requirements.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in international markets and shipyard activities in foreign shipyards subjects us to risks inherent in conducting business internationally.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operations may be materially adversely affected by tropical storms and hurricanes.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Our Legal, Regulatory, Accounting and Tax Matters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maintain an effective system of disclosure controls and procedures or internal control over financial reporting and produce timely and accurate financial statements or comply with applicable regulations.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various anti-corruption laws and regulations and laws and regulations relating to economic sanctions. Violations of these laws and regulations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regularly confronted with administrative actions taken by Mexican authorities that require a high degree of effort and can be costly to challenge. Not prevailing in any pending or future disputes with Mexican administrative authorities could have a material adverse impact on our operations or financial results.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Relating to Our Indebtedness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generate sufficient cash to service all of our indebtedness or repay such indebtedness when due and may be forced to take other actions to satisfy our obligations under our indebtedness, such as refinancings, which may not be successful or completed on favorable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Despite our current level of indebtedness, we and our subsidiaries may still be able to incur substantially more debt. This could further exacerbate the risks to our financial condition described herein.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could materially adversely affect our financial condition.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this Offering and Ownership of Our Common Stock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is subject to restrictions on foreign ownership and possible divestiture by non-U.S. citizen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high level of concentrated stock ownership.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Anti-takeover provisions in our organizational documents could delay or prevent a change of control.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risks, beyond those summarized above or discussed elsewhere in this prospectus, may apply to our business, activities or operations as currently conducted or as we may conduct them in the future or in the markets in which we operate or may in the future operate.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we are unable to adequately address these and other risks we face, our business, results of operations, financial condition and prospects may be harmed. You should carefully consider all of the information set forth in this prospectus and, in particular, should evaluate the specific factors set forth under “Risk Factors” in deciding whether to invest in our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diagram illustrates our organizational structure after giving effect to this offering.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5299710" cy="27412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299710" cy="2741295"/>
                    </a:xfrm>
                    <a:prstGeom prst="rect">
                      <a:avLst/>
                    </a:prstGeom>
                  </pic:spPr>
                </pic:pic>
              </a:graphicData>
            </a:graphic>
          </wp:inline>
        </w:drawing>
      </w:r>
      <w:r>
        <w:rPr>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Principal Stockholders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stockholders consist of our three largest stockholders (funds, investment vehicles or accounts managed or advised by Ares, Whitebox or Highbridge or their respective affiliates), who, as of December 31, 2025, collectively own 62.3% of our common stock, 85.4% of our Jones Act Warrants and 38.4% of our Creditor Warrants, which such Jones Act Warrants and Creditor Warrants are exercisable under certain circumstances into an aggregate of 9,191,755 shares of our common stock (    shares after giving effect to the stock split). The principal stockholders are offering     shares of our common stock (or    shares if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exercise in full their option to purchase additional shares of common stock from the selling stockholders). After giving effect to this offering and the Repurchases, the principal stockholders would own    % of our common stock,    % of our Jones Act Warrants, and    % of our Creditor Warrants, which such Jones Act Warrants and Creditor Warrants will be exercisable under certain circumstances for an aggregate of    shares of our common stock. On a diluted basis, after giving effect to this offering, the Repurchases and the exercise of all outstanding Jones Act Warrants and Creditor Warrants, the principal stockholders would own   % of our common stock. See “Principal and Selling Stockholders.”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Ares Management Corporation (NYSE: ARES) is a leading global alternative investment manager offering clients complementary primary and secondary investment solutions across the credit, real estate, private equity and infrastructure asset classes. Ares Management Corporation seeks to provide flexible capital to support businesses and create value for its stakeholders and within its communities. By collaborating across its investment groups, Ares Management Corporation aims to generate consistent and attractive investment returns throughout market cycles. As of September 30, 2025, Ares Management Corporation’s global platform had approximately 4,200 employees operating across North America, South America, Europe, Asia Pacific and the Middle East and approximately $596 billion of assets under management.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Whitebox is a multi-strategy alternative asset manager that seeks to generate returns by investing in credit-and arbitrage-focused strategies across a range of markets and geographies. Founded in 1999, Whitebox maintains offices in Minneapolis, Austin, New York, and London.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Highbridge is a global alternative investment firm offering credit and volatility focused solutions across a range of liquidity and investment profiles, including hedge funds, drawdown vehicles, and co-investments.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Highbridge manages capital for sophisticated investors, which include financial institutions, public and corporate pension funds, sovereign wealth funds, endowments, and family offices. Highbridge is headquartered in New York, with a research presence in London. Highbridge is an indirect subsidiary of J.P. Morgan Chase &amp; Co.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the term “principal stockholders” in this prospectus to describe certain funds, investment vehicles or accounts managed or advised by Ares, Whitebox or Highbridge or their respective affiliates, in each case, that own shares of our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Stock Split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 2026, our Board of Directors approved a  -for-one split of our common stock, which is to be effected after the effectiveness of the registration statement of which this prospectus forms a part and in connection with the consummation of this offering. The par value will not be adjusted as a result of the stock split; however, the number of shares that we are authorized to issue will be increased to   . After giving effect to the stock split, each Creditor Warrant will be exercisable for     shares of common stock, par value $0.00001 per share, at an exercise price of $    per share, and each Jones Act Warrant will be exercisable for      shares of common stock, par value $0.00001 per share, at an exercise price of $0.00001 per share.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Hornbeck Offshore Services, Inc. was incorporated under the laws of the State of Delaware on June 2, 1997. Our principal executive offices are located at 103 Northpark Boulevard, Suite 300, Covington, LA 70433, and our telephone number is (985) 727-2000. Our website address is www.hornbeckoffshore.com. Information contained on, or that can be accessed through, our website is not part of and is not incorporated by reference into this prospectus, and you should not consider information on our website to be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7" w:type="dxa"/>
            <w:tcBorders/>
          </w:tcPr>
          <w:p>
            <w:pPr>
              <w:pStyle w:val="TableContents"/>
              <w:bidi w:val="0"/>
              <w:spacing w:before="0" w:after="283"/>
              <w:jc w:val="left"/>
              <w:rPr/>
            </w:pPr>
            <w:r>
              <w:rPr/>
              <w:t>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w:t>
            </w:r>
            <w:r>
              <w:rPr/>
              <w:t xml:space="preserve">shares (including     shares of common stock to be issued upon the cashless exercise of Jones Act Warrants by certain selling stockholders in connection with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of common stock from the selling stockholders </w:t>
            </w:r>
          </w:p>
        </w:tc>
        <w:tc>
          <w:tcPr>
            <w:tcW w:w="6329" w:type="dxa"/>
            <w:tcBorders/>
          </w:tcPr>
          <w:p>
            <w:pPr>
              <w:pStyle w:val="TableContents"/>
              <w:bidi w:val="0"/>
              <w:spacing w:before="0" w:after="283"/>
              <w:jc w:val="left"/>
              <w:rPr/>
            </w:pPr>
            <w:r>
              <w:rPr/>
              <w:t>    </w:t>
            </w:r>
            <w:r>
              <w:rPr/>
              <w:t xml:space="preserve">additional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The selling stockholders have granted the underwriters an option for a period of 30 days to purchase up to an aggregate of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outstanding after this offering </w:t>
            </w:r>
          </w:p>
        </w:tc>
        <w:tc>
          <w:tcPr>
            <w:tcW w:w="6328" w:type="dxa"/>
            <w:tcBorders/>
          </w:tcPr>
          <w:p>
            <w:pPr>
              <w:pStyle w:val="TableContents"/>
              <w:bidi w:val="0"/>
              <w:spacing w:before="0" w:after="283"/>
              <w:jc w:val="left"/>
              <w:rPr/>
            </w:pPr>
            <w:r>
              <w:rPr/>
              <w:t>    </w:t>
            </w:r>
            <w:r>
              <w:rPr/>
              <w:t xml:space="preserve">shares (including     shares of common stock to be issued upon the cashless exercise of Jones Act Warrants by certain selling stockholders in connection with this offering).1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7" w:type="dxa"/>
            <w:tcBorders/>
          </w:tcPr>
          <w:p>
            <w:pPr>
              <w:pStyle w:val="TableContents"/>
              <w:bidi w:val="0"/>
              <w:spacing w:before="0" w:after="283"/>
              <w:jc w:val="left"/>
              <w:rPr/>
            </w:pPr>
            <w:r>
              <w:rPr/>
              <w:t xml:space="preserve">We estimate that the net proceeds to us from this offering, after deducting estimated underwriting discounts and commissions and estimated offering expenses payable by us, will be approximately $    million, assuming an initial public offering price of $     per share (which is the midpoint of the estimated offering price range shown on the cover page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intend to use approximately $     million of the net proceeds to us from this offering, assuming the number of shares offered by us, as set forth on the cover page of this prospectus, remains the same and an initial public offering price of $     per share (which is the midpoint of the estimated offering price range shown on the cover page of this prospectus) to repurchase from certain of the selling stockholders an aggregate of      Creditor Warrants, which Repurchases are expected to occur substantially concurrently with the closing of this offering. The closing of each Repurchase is conditioned upon the consummation of this offering. However, this offering is not conditioned upon the consummation of any Repurchase, and none of the Repurchases are conditioned upon the consummation of any other Repurchase. See “Summary—Recent Developments—Creditor Warrant Repurchases.” We intend to use the remaining net proceeds to us from this offering for general corporate purposes. We will not receive any proceeds from the sale of shares in this offering by the selling stockholders. See “Use of Proceeds.” </w:t>
            </w:r>
          </w:p>
        </w:tc>
      </w:tr>
    </w:tbl>
    <w:p>
      <w:pPr>
        <w:pStyle w:val="TextBody"/>
        <w:bidi w:val="0"/>
        <w:spacing w:before="0" w:after="0"/>
        <w:jc w:val="left"/>
        <w:rPr>
          <w:bdr w:val="single" w:sz="8" w:space="1" w:color="000000"/>
        </w:rPr>
      </w:pPr>
      <w:r>
        <w:rPr>
          <w:bdr w:val="single" w:sz="8" w:space="1" w:color="000000"/>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shares of common stock that may be issued following completion of this offering upon exercise of any Jones Act Warrants that remain outstanding, at an exercise price of $0.00001 per share, or upon exercise of any Creditor Warrants that remain outstanding, at an exercise price of $     per share (after giving effect to the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We do not currently anticipate paying any dividends on our common stock immediately following this offering. We expect to retain all future earnings for use in the operation and expansion of our business. Following this offering and upon repayment of certain outstanding indebtedness, we may reevaluate our dividend policy. Any decision to declare and pay dividends in the future will be made at the sole discretion of our Board of Directors and will depend on various factors.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Directed Share Program </w:t>
            </w:r>
          </w:p>
        </w:tc>
        <w:tc>
          <w:tcPr>
            <w:tcW w:w="6328" w:type="dxa"/>
            <w:tcBorders/>
          </w:tcPr>
          <w:p>
            <w:pPr>
              <w:pStyle w:val="TableContents"/>
              <w:bidi w:val="0"/>
              <w:spacing w:before="0" w:after="283"/>
              <w:jc w:val="left"/>
              <w:rPr/>
            </w:pPr>
            <w:r>
              <w:rPr/>
              <w:t xml:space="preserve">At our request, the underwriters have reserved up to 5% of the shares of common stock offered by this prospectus for sale, at the initial public offering price to certain individuals through a directed share program, including our directors, officers, employees and other persons identified by the Company. The number of shares of our common stock available for sale to the general public will be reduced to the extent these individuals purchase such reserved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Any reserved shares that are not so purchased will be offered by the underwriters to the general public on the same basis as the other shares offered by this prospectus. See “Underwriting (Conflicts of Interest)—Directed Share Program.”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“Risk Factors” for a discussion of risks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Conflicts of Interest </w:t>
            </w:r>
          </w:p>
        </w:tc>
        <w:tc>
          <w:tcPr>
            <w:tcW w:w="6327" w:type="dxa"/>
            <w:tcBorders/>
          </w:tcPr>
          <w:p>
            <w:pPr>
              <w:pStyle w:val="TableContents"/>
              <w:bidi w:val="0"/>
              <w:spacing w:before="0" w:after="283"/>
              <w:jc w:val="left"/>
              <w:rPr/>
            </w:pPr>
            <w:r>
              <w:rPr/>
              <w:t xml:space="preserve">Highbridge, one of our principal stockholders, is an indirect subsidiary of J.P. Morgan Chase &amp; Co. As a result, J.P. Morgan Chase &amp; Co. will be deemed to have a “conflict of interest” within the meaning of Financial Industry Regulatory Authority (“FINRA”) Rule 5121. FINRA Rule 5121 imposes certain requirements on a FINRA member participating in the public offering of securities of an issuer if there is a conflict of interest and/or if that issuer controls, is controlled by, or is under common control with, the FINRA member. Accordingly, this offering is being made in compliance with the requirements of Rule 5121 regarding a FINRA member firm’s underwriting of securities of an affiliate. Neither J.P. Morgan Chase &amp; Co. nor any other affiliated agent of J.P. Morgan Chase &amp; Co. will sell any of our securities to any account over which it exercises discretionary authority unless it has received specific written approval from the account holder in accordance with Rule 5121. Barclays Capital Inc. has been appointed as a “qualified independent underwriter” in connection with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7" w:type="dxa"/>
            <w:tcBorders/>
          </w:tcPr>
          <w:p>
            <w:pPr>
              <w:pStyle w:val="TableContents"/>
              <w:bidi w:val="0"/>
              <w:spacing w:before="0" w:after="283"/>
              <w:jc w:val="left"/>
              <w:rPr/>
            </w:pPr>
            <w:r>
              <w:rPr/>
              <w:t xml:space="preserve">We have applied to have our common stock approved for listing on the NYSE under the symbol “HOS.”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shares of our common stock outstanding as of    ,    , after giving effect to the stock split, and does not reflect: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exercise of outstanding Jones Act Warrants, at an exercise price of $0.00001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exercise of outstanding Creditor Warrants (after giving effect to the Repurchases), at an exercise price of $    per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the exercise of outstanding options at an average weighted exercise price of $     or the vesting of restricted stock units issued under our 2020 Management Incentive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xml:space="preserve">     </w:t>
            </w:r>
            <w:r>
              <w:rPr>
                <w:rFonts w:ascii="Times New Roman" w:hAnsi="Times New Roman"/>
                <w:sz w:val="20"/>
              </w:rPr>
              <w:t xml:space="preserve">shares of common stock underlying the restricted stock units and non-qualified stock options (calculated using the midpoint of the estimated offering price range shown on the cover page of this prospectus) to be granted at or about the closing of this offering to certain of our employees (collectively, the “IPO Grants”) as described in “Executive Compensation—Go-Forward Compensation Arrangements-IPO Equity Grants”;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pursuant to future awards under our 2020 Management Incentive Plan or our 2026 Omnibus Incentive Plan (inclusive of the IPO Grants) to be in effect following this offering.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or the context otherwise requires, all information in this prospectus assumes or gives effect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filing and effectiveness of our amended and restated certificate of incorporation and the adoption of our amended and restated bylaws, each of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-for-one stock split of our shares of common stock and the related increase of our authorized shares of common stock to    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initial offering price of $     per share of common stock (which is the midpoint of the estimated offering price range shown on the cover page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outstanding options or warrants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up to an additional     shares of common stock from the selling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shows our summary historical consolidated financial and other data for the periods and as of the dates indicated. The summary consolidated statements of operations and cash flow data for the nine months ended September 30, 2025 and 2024 and the balance sheet data as of September 30, 2025 have been derived from our Quarterly Financial Statements included elsewhere in this prospectus. The summary consolidated statements of operations and cash flow data for the years ended December 31, 2024, 2023 and 2022 and the balance sheet data as of December 31, 2024 and 2023 have been derived from our Annual Financial Statements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historical results are not necessarily indicative of the results to be expected in any future period. You should read the following summary financial and other data in conjunction with the sections titled “Management’s Discussion and Analysis of Financial Condition and Results of Operations” and our Financial Statements and related notes included elsewhere in this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54"/>
        <w:gridCol w:w="196"/>
        <w:gridCol w:w="140"/>
        <w:gridCol w:w="802"/>
        <w:gridCol w:w="60"/>
        <w:gridCol w:w="392"/>
        <w:gridCol w:w="140"/>
        <w:gridCol w:w="802"/>
        <w:gridCol w:w="157"/>
        <w:gridCol w:w="158"/>
        <w:gridCol w:w="140"/>
        <w:gridCol w:w="802"/>
        <w:gridCol w:w="60"/>
        <w:gridCol w:w="196"/>
        <w:gridCol w:w="140"/>
        <w:gridCol w:w="802"/>
        <w:gridCol w:w="60"/>
        <w:gridCol w:w="196"/>
        <w:gridCol w:w="140"/>
        <w:gridCol w:w="801"/>
        <w:gridCol w:w="67"/>
      </w:tblGrid>
      <w:tr>
        <w:trPr/>
        <w:tc>
          <w:tcPr>
            <w:tcW w:w="3954"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954"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3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333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b/>
                <w:i/>
              </w:rPr>
            </w:pPr>
            <w:r>
              <w:rPr>
                <w:b/>
                <w:i/>
              </w:rPr>
              <w:t>(in thousands, except per share amounts)</w:t>
            </w:r>
          </w:p>
        </w:tc>
        <w:tc>
          <w:tcPr>
            <w:tcW w:w="196"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b/>
                <w:sz w:val="20"/>
              </w:rPr>
              <w:t>Statement of Operations Data</w:t>
            </w:r>
            <w:r>
              <w:rPr>
                <w:rFonts w:ascii="Times New Roman" w:hAnsi="Times New Roman"/>
                <w:sz w:val="20"/>
              </w:rPr>
              <w:t>:</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507,582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444,365</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592,246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528,780</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406,034</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37,963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35,617</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48,605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44,669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45,192</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545,545</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479,982</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640,851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573,449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451,226</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280,669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274,317</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364,584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305,463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214,788</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30,016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27,904</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37,812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26,355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18,601</w:t>
            </w:r>
          </w:p>
        </w:tc>
        <w:tc>
          <w:tcPr>
            <w:tcW w:w="67"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30,209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19,055</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26,734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21,496</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10,339</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57,274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51,660</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71,110</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66,108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58,946</w:t>
            </w:r>
          </w:p>
        </w:tc>
        <w:tc>
          <w:tcPr>
            <w:tcW w:w="67"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5,190</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6,251</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9,384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19,097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5,330</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403,358</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379,187</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509,624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438,519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308,004</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13,022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31</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2,702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21,837</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155,209</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100,826</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131,269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137,632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165,059</w:t>
            </w:r>
          </w:p>
        </w:tc>
        <w:tc>
          <w:tcPr>
            <w:tcW w:w="67" w:type="dxa"/>
            <w:tcBorders/>
            <w:vAlign w:val="bottom"/>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19,892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15,556</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20,619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30,047</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38,340</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(5,334</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5,166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16,552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38,783</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135,102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90,604</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105,484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91,033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87,936</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8,443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7,495</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12,682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16,495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7,174</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126,659</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83,109</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92,802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74,538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80,762</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b/>
                <w:sz w:val="20"/>
              </w:rPr>
            </w:pPr>
            <w:r>
              <w:rPr>
                <w:rFonts w:ascii="Times New Roman" w:hAnsi="Times New Roman"/>
                <w:b/>
                <w:sz w:val="20"/>
              </w:rPr>
              <w:t>Per Share Data(1):</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per share: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7.92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4.86</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5.43</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4.38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4.80</w:t>
            </w:r>
          </w:p>
        </w:tc>
        <w:tc>
          <w:tcPr>
            <w:tcW w:w="67" w:type="dxa"/>
            <w:tcBorders/>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6.97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4.31</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4.83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3.89</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4.39</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used in computing net income per share:</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9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16,002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17,087</w:t>
            </w:r>
          </w:p>
        </w:tc>
        <w:tc>
          <w:tcPr>
            <w:tcW w:w="157"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17,093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17,004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16,829</w:t>
            </w:r>
          </w:p>
        </w:tc>
        <w:tc>
          <w:tcPr>
            <w:tcW w:w="67" w:type="dxa"/>
            <w:tcBorders/>
            <w:shd w:fill="CCEEFF" w:val="clear"/>
            <w:vAlign w:val="bottom"/>
          </w:tcPr>
          <w:p>
            <w:pPr>
              <w:pStyle w:val="TableContents"/>
              <w:bidi w:val="0"/>
              <w:spacing w:before="0" w:after="283"/>
              <w:jc w:val="left"/>
              <w:rPr/>
            </w:pPr>
            <w:r>
              <w:rPr/>
              <w:t> </w:t>
            </w:r>
          </w:p>
        </w:tc>
      </w:tr>
      <w:tr>
        <w:trPr/>
        <w:tc>
          <w:tcPr>
            <w:tcW w:w="3954"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18,177</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19,300</w:t>
            </w:r>
          </w:p>
        </w:tc>
        <w:tc>
          <w:tcPr>
            <w:tcW w:w="157"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19,197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19,157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18,394</w:t>
            </w:r>
          </w:p>
        </w:tc>
        <w:tc>
          <w:tcPr>
            <w:tcW w:w="6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882"/>
        <w:gridCol w:w="491"/>
        <w:gridCol w:w="238"/>
        <w:gridCol w:w="548"/>
        <w:gridCol w:w="102"/>
        <w:gridCol w:w="862"/>
        <w:gridCol w:w="238"/>
        <w:gridCol w:w="549"/>
        <w:gridCol w:w="60"/>
        <w:gridCol w:w="491"/>
        <w:gridCol w:w="180"/>
        <w:gridCol w:w="345"/>
        <w:gridCol w:w="60"/>
        <w:gridCol w:w="491"/>
        <w:gridCol w:w="180"/>
        <w:gridCol w:w="345"/>
        <w:gridCol w:w="59"/>
        <w:gridCol w:w="491"/>
        <w:gridCol w:w="180"/>
        <w:gridCol w:w="345"/>
        <w:gridCol w:w="68"/>
      </w:tblGrid>
      <w:tr>
        <w:trPr/>
        <w:tc>
          <w:tcPr>
            <w:tcW w:w="3882"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882"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267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8" w:type="dxa"/>
            <w:tcBorders/>
            <w:vAlign w:val="bottom"/>
          </w:tcPr>
          <w:p>
            <w:pPr>
              <w:pStyle w:val="TableContents"/>
              <w:bidi w:val="0"/>
              <w:spacing w:before="0" w:after="283"/>
              <w:jc w:val="left"/>
              <w:rPr/>
            </w:pPr>
            <w:r>
              <w:rPr/>
              <w:t> </w:t>
            </w:r>
          </w:p>
        </w:tc>
      </w:tr>
      <w:tr>
        <w:trPr/>
        <w:tc>
          <w:tcPr>
            <w:tcW w:w="3882" w:type="dxa"/>
            <w:tcBorders/>
            <w:vAlign w:val="bottom"/>
          </w:tcPr>
          <w:p>
            <w:pPr>
              <w:pStyle w:val="TableContents"/>
              <w:bidi w:val="0"/>
              <w:spacing w:before="0" w:after="283"/>
              <w:jc w:val="left"/>
              <w:rPr>
                <w:b/>
                <w:i/>
              </w:rPr>
            </w:pPr>
            <w:r>
              <w:rPr>
                <w:b/>
                <w:i/>
              </w:rPr>
              <w:t>(in thousands, except per share amounts)</w:t>
            </w:r>
          </w:p>
        </w:tc>
        <w:tc>
          <w:tcPr>
            <w:tcW w:w="491" w:type="dxa"/>
            <w:tcBorders/>
            <w:vAlign w:val="bottom"/>
          </w:tcPr>
          <w:p>
            <w:pPr>
              <w:pStyle w:val="TableContents"/>
              <w:bidi w:val="0"/>
              <w:spacing w:before="0" w:after="283"/>
              <w:jc w:val="left"/>
              <w:rPr/>
            </w:pPr>
            <w:r>
              <w:rPr/>
              <w:t>  </w:t>
            </w:r>
          </w:p>
        </w:tc>
        <w:tc>
          <w:tcPr>
            <w:tcW w:w="7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2"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59"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388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Per Share Data (unaudited)(2):</w:t>
            </w:r>
          </w:p>
        </w:tc>
        <w:tc>
          <w:tcPr>
            <w:tcW w:w="49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882"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income per share:</w:t>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54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sz w:val="4"/>
                <w:szCs w:val="4"/>
              </w:rPr>
            </w:pPr>
            <w:r>
              <w:rPr>
                <w:sz w:val="4"/>
                <w:szCs w:val="4"/>
              </w:rPr>
            </w:r>
          </w:p>
        </w:tc>
        <w:tc>
          <w:tcPr>
            <w:tcW w:w="5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3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basic earnings per common share</w:t>
            </w:r>
          </w:p>
        </w:tc>
        <w:tc>
          <w:tcPr>
            <w:tcW w:w="49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548" w:type="dxa"/>
            <w:tcBorders/>
            <w:shd w:fill="CCEEFF" w:val="clear"/>
            <w:vAlign w:val="bottom"/>
          </w:tcPr>
          <w:p>
            <w:pPr>
              <w:pStyle w:val="TableContents"/>
              <w:bidi w:val="0"/>
              <w:spacing w:before="0" w:after="283"/>
              <w:jc w:val="right"/>
              <w:rPr/>
            </w:pPr>
            <w:r>
              <w:rPr/>
              <w:t>  </w:t>
            </w:r>
          </w:p>
        </w:tc>
        <w:tc>
          <w:tcPr>
            <w:tcW w:w="102"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3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34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34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882"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882" w:type="dxa"/>
            <w:tcBorders/>
          </w:tcPr>
          <w:p>
            <w:pPr>
              <w:pStyle w:val="TableContents"/>
              <w:bidi w:val="0"/>
              <w:spacing w:before="0" w:after="0"/>
              <w:jc w:val="left"/>
              <w:rPr>
                <w:rFonts w:ascii="Times New Roman" w:hAnsi="Times New Roman"/>
                <w:sz w:val="20"/>
              </w:rPr>
            </w:pPr>
            <w:r>
              <w:rPr>
                <w:rFonts w:ascii="Times New Roman" w:hAnsi="Times New Roman"/>
                <w:sz w:val="20"/>
              </w:rPr>
              <w:t>Pro forma diluted earnings per common share</w:t>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548"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3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34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w:t>
            </w:r>
          </w:p>
        </w:tc>
        <w:tc>
          <w:tcPr>
            <w:tcW w:w="34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882" w:type="dxa"/>
            <w:tcBorders/>
            <w:vAlign w:val="bottom"/>
          </w:tcPr>
          <w:p>
            <w:pPr>
              <w:pStyle w:val="TableContents"/>
              <w:bidi w:val="0"/>
              <w:spacing w:before="0" w:after="283"/>
              <w:jc w:val="left"/>
              <w:rPr>
                <w:sz w:val="4"/>
                <w:szCs w:val="4"/>
              </w:rPr>
            </w:pPr>
            <w:r>
              <w:rPr>
                <w:sz w:val="4"/>
                <w:szCs w:val="4"/>
              </w:rPr>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48" w:type="dxa"/>
            <w:tcBorders/>
            <w:vAlign w:val="bottom"/>
          </w:tcPr>
          <w:p>
            <w:pPr>
              <w:pStyle w:val="TableContents"/>
              <w:pBdr>
                <w:top w:val="single" w:sz="2" w:space="1" w:color="000000"/>
              </w:pBdr>
              <w:bidi w:val="0"/>
              <w:spacing w:before="0" w:after="0"/>
              <w:jc w:val="left"/>
              <w:rPr/>
            </w:pPr>
            <w:r>
              <w:rPr/>
              <w:t> </w:t>
            </w:r>
          </w:p>
        </w:tc>
        <w:tc>
          <w:tcPr>
            <w:tcW w:w="102" w:type="dxa"/>
            <w:tcBorders/>
            <w:vAlign w:val="center"/>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34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shares used in computing net income per share:</w:t>
            </w:r>
          </w:p>
        </w:tc>
        <w:tc>
          <w:tcPr>
            <w:tcW w:w="49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548"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86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sz w:val="4"/>
                <w:szCs w:val="4"/>
              </w:rPr>
            </w:pPr>
            <w:r>
              <w:rPr>
                <w:sz w:val="4"/>
                <w:szCs w:val="4"/>
              </w:rPr>
            </w:r>
          </w:p>
        </w:tc>
        <w:tc>
          <w:tcPr>
            <w:tcW w:w="5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sz w:val="4"/>
                <w:szCs w:val="4"/>
              </w:rPr>
            </w:pPr>
            <w:r>
              <w:rPr>
                <w:sz w:val="4"/>
                <w:szCs w:val="4"/>
              </w:rPr>
            </w:r>
          </w:p>
        </w:tc>
        <w:tc>
          <w:tcPr>
            <w:tcW w:w="34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882"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49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8"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8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491"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48" w:type="dxa"/>
            <w:tcBorders/>
            <w:shd w:fill="CCEEFF" w:val="clear"/>
            <w:vAlign w:val="bottom"/>
          </w:tcPr>
          <w:p>
            <w:pPr>
              <w:pStyle w:val="TableContents"/>
              <w:bidi w:val="0"/>
              <w:spacing w:before="0" w:after="283"/>
              <w:jc w:val="right"/>
              <w:rPr/>
            </w:pPr>
            <w:r>
              <w:rPr/>
              <w:t> </w:t>
            </w:r>
          </w:p>
        </w:tc>
        <w:tc>
          <w:tcPr>
            <w:tcW w:w="102"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Note 5 of our Quarterly Financial Statements and Note 5 to our Annual Financial Statements included elsewhere in this prospectus for an explanation of the method used to calculate our basic and diluted net earnings per common share and the weighted-average number of shares used in the computation of the per share amounts.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pro forma basic earnings per common share was calculated by dividing net income by the weighted-average number of shares of common stock and Jones Act Warrants outstanding during the period, each as adjusted for the implementation of a   -for-1 stock split with respect to our common stock. The unaudited pro forma diluted earnings per common share was calculated by dividing net income by the weighted-average number of common shares and Jones Act Warrants outstanding during the period plus the effect of dilutive Creditor Warrants, dilutive stock options and restricted stock unit awards, each as adjusted for the implementation of a   -for-1 stock split with respect to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565"/>
        <w:gridCol w:w="373"/>
        <w:gridCol w:w="184"/>
        <w:gridCol w:w="1291"/>
        <w:gridCol w:w="60"/>
        <w:gridCol w:w="373"/>
        <w:gridCol w:w="176"/>
        <w:gridCol w:w="1251"/>
        <w:gridCol w:w="60"/>
        <w:gridCol w:w="373"/>
        <w:gridCol w:w="210"/>
        <w:gridCol w:w="1224"/>
        <w:gridCol w:w="65"/>
      </w:tblGrid>
      <w:tr>
        <w:trPr/>
        <w:tc>
          <w:tcPr>
            <w:tcW w:w="4565"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565" w:type="dxa"/>
            <w:tcBorders/>
            <w:vAlign w:val="bottom"/>
          </w:tcPr>
          <w:p>
            <w:pPr>
              <w:pStyle w:val="TableContents"/>
              <w:bidi w:val="0"/>
              <w:spacing w:before="0" w:after="283"/>
              <w:jc w:val="left"/>
              <w:rPr>
                <w:b/>
                <w:i/>
              </w:rPr>
            </w:pPr>
            <w:r>
              <w:rPr>
                <w:b/>
                <w:i/>
              </w:rPr>
              <w:t>(dollars in thousands)</w:t>
            </w:r>
          </w:p>
        </w:tc>
        <w:tc>
          <w:tcPr>
            <w:tcW w:w="373"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22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56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7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97,757</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1" w:type="dxa"/>
            <w:tcBorders/>
            <w:vAlign w:val="bottom"/>
          </w:tcPr>
          <w:p>
            <w:pPr>
              <w:pStyle w:val="TableContents"/>
              <w:bidi w:val="0"/>
              <w:spacing w:before="0" w:after="283"/>
              <w:jc w:val="right"/>
              <w:rPr/>
            </w:pPr>
            <w:r>
              <w:rPr/>
              <w:t>80,803</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24" w:type="dxa"/>
            <w:tcBorders/>
            <w:vAlign w:val="bottom"/>
          </w:tcPr>
          <w:p>
            <w:pPr>
              <w:pStyle w:val="TableContents"/>
              <w:bidi w:val="0"/>
              <w:spacing w:before="0" w:after="283"/>
              <w:jc w:val="right"/>
              <w:rPr/>
            </w:pPr>
            <w:r>
              <w:rPr/>
              <w:t>120,055</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307,445</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256,951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270,824</w:t>
            </w:r>
          </w:p>
        </w:tc>
        <w:tc>
          <w:tcPr>
            <w:tcW w:w="65" w:type="dxa"/>
            <w:tcBorders/>
            <w:shd w:fill="CCEEFF" w:val="clear"/>
            <w:vAlign w:val="bottom"/>
          </w:tcPr>
          <w:p>
            <w:pPr>
              <w:pStyle w:val="TableContents"/>
              <w:bidi w:val="0"/>
              <w:spacing w:before="0" w:after="283"/>
              <w:jc w:val="left"/>
              <w:rPr/>
            </w:pPr>
            <w:r>
              <w:rPr/>
              <w:t> </w:t>
            </w:r>
          </w:p>
        </w:tc>
      </w:tr>
      <w:tr>
        <w:trPr/>
        <w:tc>
          <w:tcPr>
            <w:tcW w:w="4565"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37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733,799</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674,729</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602,422</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1,161,866</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1,026,467</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946,519</w:t>
            </w:r>
          </w:p>
        </w:tc>
        <w:tc>
          <w:tcPr>
            <w:tcW w:w="65" w:type="dxa"/>
            <w:tcBorders/>
            <w:shd w:fill="CCEEFF" w:val="clear"/>
            <w:vAlign w:val="bottom"/>
          </w:tcPr>
          <w:p>
            <w:pPr>
              <w:pStyle w:val="TableContents"/>
              <w:bidi w:val="0"/>
              <w:spacing w:before="0" w:after="283"/>
              <w:jc w:val="left"/>
              <w:rPr/>
            </w:pPr>
            <w:r>
              <w:rPr/>
              <w:t> </w:t>
            </w:r>
          </w:p>
        </w:tc>
      </w:tr>
      <w:tr>
        <w:trPr/>
        <w:tc>
          <w:tcPr>
            <w:tcW w:w="456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7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109,185</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118,001</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130,415</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 net of original issue discount and deferred financing costs</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440,314</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441,231</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349,001</w:t>
            </w:r>
          </w:p>
        </w:tc>
        <w:tc>
          <w:tcPr>
            <w:tcW w:w="65" w:type="dxa"/>
            <w:tcBorders/>
            <w:shd w:fill="CCEEFF" w:val="clear"/>
            <w:vAlign w:val="bottom"/>
          </w:tcPr>
          <w:p>
            <w:pPr>
              <w:pStyle w:val="TableContents"/>
              <w:bidi w:val="0"/>
              <w:spacing w:before="0" w:after="283"/>
              <w:jc w:val="left"/>
              <w:rPr/>
            </w:pPr>
            <w:r>
              <w:rPr/>
              <w:t> </w:t>
            </w:r>
          </w:p>
        </w:tc>
      </w:tr>
      <w:tr>
        <w:trPr/>
        <w:tc>
          <w:tcPr>
            <w:tcW w:w="456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7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590,897</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1" w:type="dxa"/>
            <w:tcBorders/>
            <w:vAlign w:val="bottom"/>
          </w:tcPr>
          <w:p>
            <w:pPr>
              <w:pStyle w:val="TableContents"/>
              <w:bidi w:val="0"/>
              <w:spacing w:before="0" w:after="283"/>
              <w:jc w:val="right"/>
              <w:rPr/>
            </w:pPr>
            <w:r>
              <w:rPr/>
              <w:t>592,325</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4" w:type="dxa"/>
            <w:tcBorders/>
            <w:vAlign w:val="bottom"/>
          </w:tcPr>
          <w:p>
            <w:pPr>
              <w:pStyle w:val="TableContents"/>
              <w:bidi w:val="0"/>
              <w:spacing w:before="0" w:after="283"/>
              <w:jc w:val="right"/>
              <w:rPr/>
            </w:pPr>
            <w:r>
              <w:rPr/>
              <w:t>585,226</w:t>
            </w:r>
          </w:p>
        </w:tc>
        <w:tc>
          <w:tcPr>
            <w:tcW w:w="65" w:type="dxa"/>
            <w:tcBorders/>
            <w:vAlign w:val="bottom"/>
          </w:tcPr>
          <w:p>
            <w:pPr>
              <w:pStyle w:val="TableContents"/>
              <w:bidi w:val="0"/>
              <w:spacing w:before="0" w:after="283"/>
              <w:jc w:val="left"/>
              <w:rPr/>
            </w:pPr>
            <w:r>
              <w:rPr/>
              <w:t> </w:t>
            </w:r>
          </w:p>
        </w:tc>
      </w:tr>
      <w:tr>
        <w:trPr/>
        <w:tc>
          <w:tcPr>
            <w:tcW w:w="45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7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570,969</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1" w:type="dxa"/>
            <w:tcBorders/>
            <w:shd w:fill="CCEEFF" w:val="clear"/>
            <w:vAlign w:val="bottom"/>
          </w:tcPr>
          <w:p>
            <w:pPr>
              <w:pStyle w:val="TableContents"/>
              <w:bidi w:val="0"/>
              <w:spacing w:before="0" w:after="283"/>
              <w:jc w:val="right"/>
              <w:rPr/>
            </w:pPr>
            <w:r>
              <w:rPr/>
              <w:t>434,142</w:t>
            </w:r>
          </w:p>
        </w:tc>
        <w:tc>
          <w:tcPr>
            <w:tcW w:w="60" w:type="dxa"/>
            <w:tcBorders/>
            <w:shd w:fill="CCEEFF" w:val="clear"/>
            <w:vAlign w:val="bottom"/>
          </w:tcPr>
          <w:p>
            <w:pPr>
              <w:pStyle w:val="TableContents"/>
              <w:bidi w:val="0"/>
              <w:spacing w:before="0" w:after="283"/>
              <w:jc w:val="left"/>
              <w:rPr/>
            </w:pPr>
            <w:r>
              <w:rPr/>
              <w:t> </w:t>
            </w:r>
          </w:p>
        </w:tc>
        <w:tc>
          <w:tcPr>
            <w:tcW w:w="373"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4" w:type="dxa"/>
            <w:tcBorders/>
            <w:shd w:fill="CCEEFF" w:val="clear"/>
            <w:vAlign w:val="bottom"/>
          </w:tcPr>
          <w:p>
            <w:pPr>
              <w:pStyle w:val="TableContents"/>
              <w:bidi w:val="0"/>
              <w:spacing w:before="0" w:after="283"/>
              <w:jc w:val="right"/>
              <w:rPr/>
            </w:pPr>
            <w:r>
              <w:rPr/>
              <w:t>361,293</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1590"/>
        <w:gridCol w:w="108"/>
        <w:gridCol w:w="217"/>
        <w:gridCol w:w="1244"/>
        <w:gridCol w:w="155"/>
        <w:gridCol w:w="108"/>
        <w:gridCol w:w="217"/>
        <w:gridCol w:w="1244"/>
        <w:gridCol w:w="155"/>
        <w:gridCol w:w="108"/>
        <w:gridCol w:w="201"/>
        <w:gridCol w:w="1259"/>
        <w:gridCol w:w="154"/>
        <w:gridCol w:w="108"/>
        <w:gridCol w:w="201"/>
        <w:gridCol w:w="1259"/>
        <w:gridCol w:w="155"/>
        <w:gridCol w:w="82"/>
        <w:gridCol w:w="201"/>
        <w:gridCol w:w="1259"/>
        <w:gridCol w:w="180"/>
      </w:tblGrid>
      <w:tr>
        <w:trPr/>
        <w:tc>
          <w:tcPr>
            <w:tcW w:w="159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r>
      <w:tr>
        <w:trPr/>
        <w:tc>
          <w:tcPr>
            <w:tcW w:w="159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1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87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80" w:type="dxa"/>
            <w:tcBorders/>
            <w:vAlign w:val="bottom"/>
          </w:tcPr>
          <w:p>
            <w:pPr>
              <w:pStyle w:val="TableContents"/>
              <w:bidi w:val="0"/>
              <w:spacing w:before="0" w:after="283"/>
              <w:jc w:val="left"/>
              <w:rPr/>
            </w:pPr>
            <w:r>
              <w:rPr/>
              <w:t> </w:t>
            </w:r>
          </w:p>
        </w:tc>
      </w:tr>
      <w:tr>
        <w:trPr/>
        <w:tc>
          <w:tcPr>
            <w:tcW w:w="1590" w:type="dxa"/>
            <w:tcBorders/>
            <w:vAlign w:val="bottom"/>
          </w:tcPr>
          <w:p>
            <w:pPr>
              <w:pStyle w:val="TableContents"/>
              <w:bidi w:val="0"/>
              <w:spacing w:before="0" w:after="283"/>
              <w:jc w:val="left"/>
              <w:rPr>
                <w:b/>
                <w:i/>
              </w:rPr>
            </w:pPr>
            <w:r>
              <w:rPr>
                <w:b/>
                <w:i/>
              </w:rPr>
              <w:t>(dollars in thousands)</w:t>
            </w:r>
          </w:p>
        </w:tc>
        <w:tc>
          <w:tcPr>
            <w:tcW w:w="108"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180" w:type="dxa"/>
            <w:tcBorders/>
            <w:vAlign w:val="bottom"/>
          </w:tcPr>
          <w:p>
            <w:pPr>
              <w:pStyle w:val="TableContents"/>
              <w:bidi w:val="0"/>
              <w:spacing w:before="0" w:after="283"/>
              <w:jc w:val="left"/>
              <w:rPr/>
            </w:pPr>
            <w:r>
              <w:rPr/>
              <w:t> </w:t>
            </w:r>
          </w:p>
        </w:tc>
      </w:tr>
      <w:tr>
        <w:trPr/>
        <w:tc>
          <w:tcPr>
            <w:tcW w:w="15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 of Cash Flows Data</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sz w:val="4"/>
                <w:szCs w:val="4"/>
              </w:rPr>
            </w:pPr>
            <w:r>
              <w:rPr>
                <w:sz w:val="4"/>
                <w:szCs w:val="4"/>
              </w:rPr>
            </w:r>
          </w:p>
        </w:tc>
        <w:tc>
          <w:tcPr>
            <w:tcW w:w="124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259"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sz w:val="4"/>
                <w:szCs w:val="4"/>
              </w:rPr>
            </w:pPr>
            <w:r>
              <w:rPr>
                <w:sz w:val="4"/>
                <w:szCs w:val="4"/>
              </w:rPr>
            </w:r>
          </w:p>
        </w:tc>
      </w:tr>
      <w:tr>
        <w:trPr/>
        <w:tc>
          <w:tcPr>
            <w:tcW w:w="159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r>
      <w:tr>
        <w:trPr/>
        <w:tc>
          <w:tcPr>
            <w:tcW w:w="1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96,967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75,127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16,477</w:t>
            </w:r>
          </w:p>
        </w:tc>
        <w:tc>
          <w:tcPr>
            <w:tcW w:w="15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146,115</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112,967</w:t>
            </w:r>
          </w:p>
        </w:tc>
        <w:tc>
          <w:tcPr>
            <w:tcW w:w="180" w:type="dxa"/>
            <w:tcBorders/>
            <w:shd w:fill="CCEEFF" w:val="clear"/>
            <w:vAlign w:val="bottom"/>
          </w:tcPr>
          <w:p>
            <w:pPr>
              <w:pStyle w:val="TableContents"/>
              <w:bidi w:val="0"/>
              <w:spacing w:before="0" w:after="283"/>
              <w:jc w:val="left"/>
              <w:rPr/>
            </w:pPr>
            <w:r>
              <w:rPr/>
              <w:t> </w:t>
            </w:r>
          </w:p>
        </w:tc>
      </w:tr>
      <w:tr>
        <w:trPr/>
        <w:tc>
          <w:tcPr>
            <w:tcW w:w="1590" w:type="dxa"/>
            <w:tcBorders/>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(78,157</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(85,334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(120,020</w:t>
            </w:r>
          </w:p>
        </w:tc>
        <w:tc>
          <w:tcPr>
            <w:tcW w:w="15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(168,345</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(109,157</w:t>
            </w:r>
          </w:p>
        </w:tc>
        <w:tc>
          <w:tcPr>
            <w:tcW w:w="180" w:type="dxa"/>
            <w:tcBorders/>
            <w:vAlign w:val="bottom"/>
          </w:tcPr>
          <w:p>
            <w:pPr>
              <w:pStyle w:val="TableContents"/>
              <w:bidi w:val="0"/>
              <w:spacing w:before="0" w:after="283"/>
              <w:jc w:val="left"/>
              <w:rPr/>
            </w:pPr>
            <w:r>
              <w:rPr/>
              <w:t>) </w:t>
            </w:r>
          </w:p>
        </w:tc>
      </w:tr>
      <w:tr>
        <w:trPr/>
        <w:tc>
          <w:tcPr>
            <w:tcW w:w="1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(4,028</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(5,792</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68,272</w:t>
            </w:r>
          </w:p>
        </w:tc>
        <w:tc>
          <w:tcPr>
            <w:tcW w:w="15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(76,038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32,875</w:t>
            </w:r>
          </w:p>
        </w:tc>
        <w:tc>
          <w:tcPr>
            <w:tcW w:w="180" w:type="dxa"/>
            <w:tcBorders/>
            <w:shd w:fill="CCEEFF" w:val="clear"/>
            <w:vAlign w:val="bottom"/>
          </w:tcPr>
          <w:p>
            <w:pPr>
              <w:pStyle w:val="TableContents"/>
              <w:bidi w:val="0"/>
              <w:spacing w:before="0" w:after="283"/>
              <w:jc w:val="left"/>
              <w:rPr/>
            </w:pPr>
            <w:r>
              <w:rPr/>
              <w:t> </w:t>
            </w:r>
          </w:p>
        </w:tc>
      </w:tr>
      <w:tr>
        <w:trPr/>
        <w:tc>
          <w:tcPr>
            <w:tcW w:w="159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Financial Data (unaudited):</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sz w:val="4"/>
                <w:szCs w:val="4"/>
              </w:rPr>
            </w:pPr>
            <w:r>
              <w:rPr>
                <w:sz w:val="4"/>
                <w:szCs w:val="4"/>
              </w:rPr>
            </w:r>
          </w:p>
        </w:tc>
        <w:tc>
          <w:tcPr>
            <w:tcW w:w="124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259"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r>
      <w:tr>
        <w:trPr/>
        <w:tc>
          <w:tcPr>
            <w:tcW w:w="1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EBITDA(1)</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215,219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244" w:type="dxa"/>
            <w:tcBorders/>
            <w:shd w:fill="CCEEFF" w:val="clear"/>
            <w:vAlign w:val="bottom"/>
          </w:tcPr>
          <w:p>
            <w:pPr>
              <w:pStyle w:val="TableContents"/>
              <w:bidi w:val="0"/>
              <w:spacing w:before="0" w:after="283"/>
              <w:jc w:val="right"/>
              <w:rPr/>
            </w:pPr>
            <w:r>
              <w:rPr/>
              <w:t>153,119</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190,649</w:t>
            </w:r>
          </w:p>
        </w:tc>
        <w:tc>
          <w:tcPr>
            <w:tcW w:w="15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168,931</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259" w:type="dxa"/>
            <w:tcBorders/>
            <w:shd w:fill="CCEEFF" w:val="clear"/>
            <w:vAlign w:val="bottom"/>
          </w:tcPr>
          <w:p>
            <w:pPr>
              <w:pStyle w:val="TableContents"/>
              <w:bidi w:val="0"/>
              <w:spacing w:before="0" w:after="283"/>
              <w:jc w:val="right"/>
              <w:rPr/>
            </w:pPr>
            <w:r>
              <w:rPr/>
              <w:t>155,216</w:t>
            </w:r>
          </w:p>
        </w:tc>
        <w:tc>
          <w:tcPr>
            <w:tcW w:w="180" w:type="dxa"/>
            <w:tcBorders/>
            <w:shd w:fill="CCEEFF" w:val="clear"/>
            <w:vAlign w:val="bottom"/>
          </w:tcPr>
          <w:p>
            <w:pPr>
              <w:pStyle w:val="TableContents"/>
              <w:bidi w:val="0"/>
              <w:spacing w:before="0" w:after="283"/>
              <w:jc w:val="left"/>
              <w:rPr/>
            </w:pPr>
            <w:r>
              <w:rPr/>
              <w:t> </w:t>
            </w:r>
          </w:p>
        </w:tc>
      </w:tr>
      <w:tr>
        <w:trPr/>
        <w:tc>
          <w:tcPr>
            <w:tcW w:w="159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224,178</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157,603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209,520</w:t>
            </w:r>
          </w:p>
        </w:tc>
        <w:tc>
          <w:tcPr>
            <w:tcW w:w="15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213,629</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204,830</w:t>
            </w:r>
          </w:p>
        </w:tc>
        <w:tc>
          <w:tcPr>
            <w:tcW w:w="180" w:type="dxa"/>
            <w:tcBorders/>
            <w:vAlign w:val="bottom"/>
          </w:tcPr>
          <w:p>
            <w:pPr>
              <w:pStyle w:val="TableContents"/>
              <w:bidi w:val="0"/>
              <w:spacing w:before="0" w:after="283"/>
              <w:jc w:val="left"/>
              <w:rPr/>
            </w:pPr>
            <w:r>
              <w:rPr/>
              <w:t> </w:t>
            </w:r>
          </w:p>
        </w:tc>
      </w:tr>
      <w:tr>
        <w:trPr/>
        <w:tc>
          <w:tcPr>
            <w:tcW w:w="1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Free Cash Flow(1)</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110,177</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44" w:type="dxa"/>
            <w:tcBorders/>
            <w:shd w:fill="CCEEFF" w:val="clear"/>
            <w:vAlign w:val="bottom"/>
          </w:tcPr>
          <w:p>
            <w:pPr>
              <w:pStyle w:val="TableContents"/>
              <w:bidi w:val="0"/>
              <w:spacing w:before="0" w:after="283"/>
              <w:jc w:val="right"/>
              <w:rPr/>
            </w:pPr>
            <w:r>
              <w:rPr/>
              <w:t>63,696</w:t>
            </w:r>
          </w:p>
        </w:tc>
        <w:tc>
          <w:tcPr>
            <w:tcW w:w="15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82,891</w:t>
            </w:r>
          </w:p>
        </w:tc>
        <w:tc>
          <w:tcPr>
            <w:tcW w:w="154"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132,688</w:t>
            </w:r>
          </w:p>
        </w:tc>
        <w:tc>
          <w:tcPr>
            <w:tcW w:w="15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pPr>
            <w:r>
              <w:rPr/>
              <w:t>171,288</w:t>
            </w:r>
          </w:p>
        </w:tc>
        <w:tc>
          <w:tcPr>
            <w:tcW w:w="180" w:type="dxa"/>
            <w:tcBorders/>
            <w:shd w:fill="CCEEFF" w:val="clear"/>
            <w:vAlign w:val="bottom"/>
          </w:tcPr>
          <w:p>
            <w:pPr>
              <w:pStyle w:val="TableContents"/>
              <w:bidi w:val="0"/>
              <w:spacing w:before="0" w:after="283"/>
              <w:jc w:val="left"/>
              <w:rPr/>
            </w:pPr>
            <w:r>
              <w:rPr/>
              <w:t> </w:t>
            </w:r>
          </w:p>
        </w:tc>
      </w:tr>
      <w:tr>
        <w:trPr/>
        <w:tc>
          <w:tcPr>
            <w:tcW w:w="1590" w:type="dxa"/>
            <w:tcBorders/>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139,244</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44" w:type="dxa"/>
            <w:tcBorders/>
            <w:vAlign w:val="bottom"/>
          </w:tcPr>
          <w:p>
            <w:pPr>
              <w:pStyle w:val="TableContents"/>
              <w:bidi w:val="0"/>
              <w:spacing w:before="0" w:after="283"/>
              <w:jc w:val="right"/>
              <w:rPr/>
            </w:pPr>
            <w:r>
              <w:rPr/>
              <w:t>123,473</w:t>
            </w:r>
          </w:p>
        </w:tc>
        <w:tc>
          <w:tcPr>
            <w:tcW w:w="15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179,570</w:t>
            </w:r>
          </w:p>
        </w:tc>
        <w:tc>
          <w:tcPr>
            <w:tcW w:w="15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201,071</w:t>
            </w:r>
          </w:p>
        </w:tc>
        <w:tc>
          <w:tcPr>
            <w:tcW w:w="15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pPr>
            <w:r>
              <w:rPr/>
              <w:t>151,196</w:t>
            </w:r>
          </w:p>
        </w:tc>
        <w:tc>
          <w:tcPr>
            <w:tcW w:w="1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ind w:left="0" w:right="0" w:hanging="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are non-GAAP financial measures. As such, they should not be considered in isolation or as a substitute for operating income, net income or loss, cash flows provided by operating, investing and financing activities, or other income or cash flow statement data prepared in accordance with GAAP. See “—Non-GAAP Financial Measures” below for our definitions of EBITDA, Adjusted EBITDA and Adjusted Free Cash Flow and reconciliations of each to the most directly comparable GAAP financial measure.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postponed offering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These ratios are calculated using certain adjustments to EBITDA defined by our credit agreements, which adjustments are consistent with those reflected in Adjusted EBITDA in this prospectus. In addition, we believe that, based on covenants in prior and existing credit facilities, future debt arrangements may require compliance with certain ratios that will likely include EBITDA or Adjusted EBITDA in the computations. Adjusted EBITDA is also currently utilized in connection with our short-term cash bonus incentive compensation programs.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reconcile cash flows provided by operating activities to EBITDA, Adjusted EBITDA and Adjusted Free Cash Flow, as we define those terms, for the nine months ended September 30, 2025 and 2024, and the years ended December 31, 2024, 2023 and 2022: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931"/>
        <w:gridCol w:w="186"/>
        <w:gridCol w:w="140"/>
        <w:gridCol w:w="804"/>
        <w:gridCol w:w="155"/>
        <w:gridCol w:w="146"/>
        <w:gridCol w:w="140"/>
        <w:gridCol w:w="804"/>
        <w:gridCol w:w="155"/>
        <w:gridCol w:w="146"/>
        <w:gridCol w:w="140"/>
        <w:gridCol w:w="804"/>
        <w:gridCol w:w="155"/>
        <w:gridCol w:w="146"/>
        <w:gridCol w:w="140"/>
        <w:gridCol w:w="804"/>
        <w:gridCol w:w="155"/>
        <w:gridCol w:w="146"/>
        <w:gridCol w:w="140"/>
        <w:gridCol w:w="804"/>
        <w:gridCol w:w="164"/>
      </w:tblGrid>
      <w:tr>
        <w:trPr/>
        <w:tc>
          <w:tcPr>
            <w:tcW w:w="3931"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4"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b/>
                <w:i/>
              </w:rPr>
            </w:pPr>
            <w:r>
              <w:rPr>
                <w:b/>
                <w:i/>
              </w:rPr>
              <w:t>(dollars in thousands)</w:t>
            </w:r>
          </w:p>
        </w:tc>
        <w:tc>
          <w:tcPr>
            <w:tcW w:w="18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EBITDA Reconciliation to GAAP:</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74,375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17,150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20,810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474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38,995</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(5,190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(6,251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(9,384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(19,097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(5,330</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(1,951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(700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(1,028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6,336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5,412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(10,917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(41,408</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 net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(1,236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13,022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21,837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215,219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153,119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190,649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168,931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155,216</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 Reconciliation to GAAP:</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74,375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17,150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20,810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474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38,995</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3,702</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4,569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5,763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9,755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2,832</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13,022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21,837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9,136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3,693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224,178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157,603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209,520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213,629</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204,830</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990"/>
        <w:gridCol w:w="193"/>
        <w:gridCol w:w="140"/>
        <w:gridCol w:w="803"/>
        <w:gridCol w:w="155"/>
        <w:gridCol w:w="148"/>
        <w:gridCol w:w="140"/>
        <w:gridCol w:w="769"/>
        <w:gridCol w:w="155"/>
        <w:gridCol w:w="148"/>
        <w:gridCol w:w="140"/>
        <w:gridCol w:w="769"/>
        <w:gridCol w:w="155"/>
        <w:gridCol w:w="148"/>
        <w:gridCol w:w="140"/>
        <w:gridCol w:w="803"/>
        <w:gridCol w:w="155"/>
        <w:gridCol w:w="147"/>
        <w:gridCol w:w="140"/>
        <w:gridCol w:w="803"/>
        <w:gridCol w:w="164"/>
      </w:tblGrid>
      <w:tr>
        <w:trPr/>
        <w:tc>
          <w:tcPr>
            <w:tcW w:w="399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9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21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3400" w:type="dxa"/>
            <w:gridSpan w:val="10"/>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4" w:type="dxa"/>
            <w:tcBorders/>
            <w:vAlign w:val="bottom"/>
          </w:tcPr>
          <w:p>
            <w:pPr>
              <w:pStyle w:val="TableContents"/>
              <w:bidi w:val="0"/>
              <w:spacing w:before="0" w:after="283"/>
              <w:jc w:val="left"/>
              <w:rPr/>
            </w:pPr>
            <w:r>
              <w:rPr/>
              <w:t> </w:t>
            </w:r>
          </w:p>
        </w:tc>
      </w:tr>
      <w:tr>
        <w:trPr/>
        <w:tc>
          <w:tcPr>
            <w:tcW w:w="3990" w:type="dxa"/>
            <w:tcBorders/>
            <w:vAlign w:val="bottom"/>
          </w:tcPr>
          <w:p>
            <w:pPr>
              <w:pStyle w:val="TableContents"/>
              <w:bidi w:val="0"/>
              <w:spacing w:before="0" w:after="283"/>
              <w:jc w:val="left"/>
              <w:rPr>
                <w:b/>
                <w:i/>
              </w:rPr>
            </w:pPr>
            <w:r>
              <w:rPr>
                <w:b/>
                <w:i/>
              </w:rPr>
              <w:t>(dollars in thousands)</w:t>
            </w:r>
          </w:p>
        </w:tc>
        <w:tc>
          <w:tcPr>
            <w:tcW w:w="193"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Free Cash Flow Reconciliation to GAAP:</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6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maintenance capital improvements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(15,370</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(15,775</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(16,171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(7,745</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(3,758</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non-vessel capital expenditures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(7,461</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(707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(753</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(1,087</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(1,328</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38,995</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(1,951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74,375</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2,832</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13,022</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21,837</w:t>
            </w:r>
          </w:p>
        </w:tc>
        <w:tc>
          <w:tcPr>
            <w:tcW w:w="164" w:type="dxa"/>
            <w:tcBorders/>
            <w:vAlign w:val="bottom"/>
          </w:tcPr>
          <w:p>
            <w:pPr>
              <w:pStyle w:val="TableContents"/>
              <w:bidi w:val="0"/>
              <w:spacing w:before="0" w:after="283"/>
              <w:jc w:val="left"/>
              <w:rPr/>
            </w:pPr>
            <w:r>
              <w:rPr/>
              <w:t> </w:t>
            </w:r>
          </w:p>
        </w:tc>
      </w:tr>
      <w:tr>
        <w:trPr/>
        <w:tc>
          <w:tcPr>
            <w:tcW w:w="39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9,136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3,693</w:t>
            </w:r>
          </w:p>
        </w:tc>
        <w:tc>
          <w:tcPr>
            <w:tcW w:w="15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9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90"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110,177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63,696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82,891</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132,688</w:t>
            </w:r>
          </w:p>
        </w:tc>
        <w:tc>
          <w:tcPr>
            <w:tcW w:w="15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171,288</w:t>
            </w:r>
          </w:p>
        </w:tc>
        <w:tc>
          <w:tcPr>
            <w:tcW w:w="164" w:type="dxa"/>
            <w:tcBorders/>
            <w:vAlign w:val="bottom"/>
          </w:tcPr>
          <w:p>
            <w:pPr>
              <w:pStyle w:val="TableContents"/>
              <w:bidi w:val="0"/>
              <w:spacing w:before="0" w:after="283"/>
              <w:jc w:val="left"/>
              <w:rPr/>
            </w:pPr>
            <w:r>
              <w:rPr/>
              <w:t> </w:t>
            </w:r>
          </w:p>
        </w:tc>
      </w:tr>
      <w:tr>
        <w:trPr/>
        <w:tc>
          <w:tcPr>
            <w:tcW w:w="3990"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provides the detailed components of EBITDA, Adjusted EBITDA and Adjusted Free Cash Flow as we define those terms, for the nine months ended September 30, 2025 and 2024, and the years ended December 31, 2024, 2023 and 2022 (in thousands):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246"/>
        <w:gridCol w:w="93"/>
        <w:gridCol w:w="140"/>
        <w:gridCol w:w="802"/>
        <w:gridCol w:w="155"/>
        <w:gridCol w:w="93"/>
        <w:gridCol w:w="140"/>
        <w:gridCol w:w="802"/>
        <w:gridCol w:w="155"/>
        <w:gridCol w:w="93"/>
        <w:gridCol w:w="140"/>
        <w:gridCol w:w="802"/>
        <w:gridCol w:w="155"/>
        <w:gridCol w:w="93"/>
        <w:gridCol w:w="140"/>
        <w:gridCol w:w="802"/>
        <w:gridCol w:w="155"/>
        <w:gridCol w:w="93"/>
        <w:gridCol w:w="140"/>
        <w:gridCol w:w="802"/>
        <w:gridCol w:w="164"/>
      </w:tblGrid>
      <w:tr>
        <w:trPr/>
        <w:tc>
          <w:tcPr>
            <w:tcW w:w="4246"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21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32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Components of EBITDA, Adjusted EBITDA and Adjusted Free Cash Flow:</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126,659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83,109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92,802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74,538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80,762</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23,594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20,125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26,382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39,802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41,172</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2,832</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net</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19,892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15,556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20,619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30,047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38,340</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8,443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7,495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12,682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16,495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7,174</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30,016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27,904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37,812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26,355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18,601</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30,209</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19,055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26,734</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21,496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10,339</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215,219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153,119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190,649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168,931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155,216</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 net</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44</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5,190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6,251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9,384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19,097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5,330</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2,832</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liability-classified warrants</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(6,336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(5,412</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10,917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41,408</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9,136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3,693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224,178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157,603</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209,520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213,629</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204,830</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charges(1)</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maintenance capital improvements(1)</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(15,370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(15,775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(16,171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(7,745</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(3,758</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non-vessel capital expenditures(1)</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(7,461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(707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(753</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(1,087</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(1,328</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42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(14,126</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(17,150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(20,810</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(9,311</w:t>
            </w:r>
          </w:p>
        </w:tc>
        <w:tc>
          <w:tcPr>
            <w:tcW w:w="155"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(474</w:t>
            </w:r>
          </w:p>
        </w:tc>
        <w:tc>
          <w:tcPr>
            <w:tcW w:w="164" w:type="dxa"/>
            <w:tcBorders/>
            <w:shd w:fill="CCEEFF" w:val="clear"/>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246"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110,177</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63,696</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82,891</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132,688</w:t>
            </w:r>
          </w:p>
        </w:tc>
        <w:tc>
          <w:tcPr>
            <w:tcW w:w="155"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171,288</w:t>
            </w:r>
          </w:p>
        </w:tc>
        <w:tc>
          <w:tcPr>
            <w:tcW w:w="164" w:type="dxa"/>
            <w:tcBorders/>
            <w:vAlign w:val="bottom"/>
          </w:tcPr>
          <w:p>
            <w:pPr>
              <w:pStyle w:val="TableContents"/>
              <w:bidi w:val="0"/>
              <w:spacing w:before="0" w:after="283"/>
              <w:jc w:val="left"/>
              <w:rPr/>
            </w:pPr>
            <w:r>
              <w:rPr/>
              <w:t> </w:t>
            </w:r>
          </w:p>
        </w:tc>
      </w:tr>
      <w:tr>
        <w:trPr/>
        <w:tc>
          <w:tcPr>
            <w:tcW w:w="4246"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ind w:left="0" w:right="0" w:hanging="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information concerning these items, see “Management’s Discussion and Analysis of Financial Condition and Results of Operations—Liquidity and Capital Resources—Capital Expenditures and Related Commitments.”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Set forth below are the material limitations associated with using EBITDA, Adjusted EBITDA and Adjusted Free Cash Flow as non-GAAP financial measures compared to cash flows provided by operating activities: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future capital expenditure requirements that may be necessary to replace our existing vessels upon expiration of their useful lives;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interest, future principal payments and other financing-related charges necessary to service the debt that we have incurred in acquiring and constructing our vessels;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deferred income taxes that we will eventually have to pay once we are no longer in an overall NOL carryforward position, as applicable;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changes in our net working capital position.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Management compensates for the above-described limitations in using EBITDA, Adjusted EBITDA and Adjusted Free Cash Flow as non-GAAP financial measures by only using EBITDA, Adjusted EBITDA and Adjusted Free Cash Flow to supplement our GAAP results.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Other Operating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056"/>
        <w:gridCol w:w="248"/>
        <w:gridCol w:w="140"/>
        <w:gridCol w:w="806"/>
        <w:gridCol w:w="276"/>
        <w:gridCol w:w="196"/>
        <w:gridCol w:w="140"/>
        <w:gridCol w:w="806"/>
        <w:gridCol w:w="276"/>
        <w:gridCol w:w="196"/>
        <w:gridCol w:w="140"/>
        <w:gridCol w:w="806"/>
        <w:gridCol w:w="276"/>
        <w:gridCol w:w="196"/>
        <w:gridCol w:w="140"/>
        <w:gridCol w:w="806"/>
        <w:gridCol w:w="276"/>
        <w:gridCol w:w="196"/>
        <w:gridCol w:w="140"/>
        <w:gridCol w:w="806"/>
        <w:gridCol w:w="283"/>
      </w:tblGrid>
      <w:tr>
        <w:trPr/>
        <w:tc>
          <w:tcPr>
            <w:tcW w:w="305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37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3"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Offshore Supply Vessels: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OSVs(1)</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58.6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53.8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57.0</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active OSVs(2)</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37.7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37.6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32.2</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26.7</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fleet capacity (DWT)(3)</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264,485</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259,870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261,528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235,514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229,001</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OSV capacity (DWT)(4)</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4,449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4,435</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4,437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4,374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4,020</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utilization rate(5)</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47.9</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42.8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41.3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44.3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37.7</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Active OSV utilization rate(6)</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75.6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66.7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64.1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74.0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80.7</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dayrate(7)</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44,366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41,014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41,956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39,297</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32,305</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OSV dayrate(8)</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21,251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17,554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17,328</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17,409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12,179</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b/>
                <w:sz w:val="20"/>
              </w:rPr>
            </w:pPr>
            <w:r>
              <w:rPr>
                <w:rFonts w:ascii="Times New Roman" w:hAnsi="Times New Roman"/>
                <w:b/>
                <w:sz w:val="20"/>
              </w:rPr>
              <w:t>Multi-Purpose Support Vessels: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MPSVs(1)</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active MPSVs(2)</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11.2</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10.4</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MPSV utilization rate(5)</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60.3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75.0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73.4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68.4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65.2</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Active MPSV utilization rate(6)</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65.1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75.0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75.0</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MPSV dayrate(7)</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82,518</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65,943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67,853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62,372</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53,421</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Effective MPSV dayrate(8)</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49,758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49,457</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49,804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42,662</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34,830</w:t>
            </w:r>
          </w:p>
        </w:tc>
        <w:tc>
          <w:tcPr>
            <w:tcW w:w="28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number of vessels owned during the period, adjusted to reflect date of acquisition or disposition of vessels. We owned 59, 60, 60, 55, and 54 OSVs and 12 MPSVs as of September 30, 2025 and 2024 and December 31, 2024, 2023 and 2022, respectively. Excluded from the data are four non-owned vessels that we now manage for the U.S. Navy, one OSV acquired from the U.S. Department of Transportation’s Maritime Administration that was at September 30,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 </w:t>
            </w:r>
          </w:p>
        </w:tc>
        <w:tc>
          <w:tcPr>
            <w:tcW w:w="9702" w:type="dxa"/>
            <w:tcBorders/>
          </w:tcPr>
          <w:p>
            <w:pPr>
              <w:pStyle w:val="TableContents"/>
              <w:bidi w:val="0"/>
              <w:spacing w:before="0" w:after="283"/>
              <w:jc w:val="left"/>
              <w:rPr/>
            </w:pPr>
            <w:r>
              <w:rPr/>
              <w:t xml:space="preserve">undergoing conversion into a MPSV for dual-service as either a C/SOV or flotel, which was completed in early November 2025,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2022, eight such vessels, (ii) as of December 31, 2023, five such vessels, (iii) as of December 31, 2024, no such vessels, (iv) as of September 30, 2024, no such vessels and (v) as of September 30, 2025, no such vessels. We also sold zero, two and ten OSVs during 2024, 2023 and 2022, respectively.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number of OSVs owned during the period multiplied by the weighted-average capacity of OSVs during the same period.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actual capacity of the OSVs owned during the period on a weighted-average basis, adjusted to reflect date of acquisition or disposition of vessels.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Utilization rates are weighted-average rates based on a 365-day year. Vessels are considered utilized when they are generating revenues.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 utilization rate is based on a denominator comprised only of vessel-days available for service by the active fleet, which excludes the impact of inactive or stacked vessel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OSV and MPSV dayrates represent weighted-average revenue per day, which includes charter hire, crewing services and net brokerage revenues, based on the number of days during the period that the OSVs and MPSVs, respectively, generated revenues.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dayrate represents the average dayrate multiplied by the average utilization 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66194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our common stock involves a high degree of risk. You should carefully consider the risks described below, together with the other information in this prospectus, before deciding whether to purchase our common stock. If any of the risks described below actually occur, our business, financial condition, results of operations or prospects could be materially adversely affected. In any such case, the trading price of our common stock could decline and you could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derive substantial revenues from companies in the oil and natural gas exploration and production industry, which is a historically cyclical industry with levels of activity that are directly affected by the levels and volatility of oil and natural gas prices. </w:t>
      </w:r>
    </w:p>
    <w:p>
      <w:pPr>
        <w:pStyle w:val="TextBody"/>
        <w:bidi w:val="0"/>
        <w:spacing w:before="120" w:after="0"/>
        <w:jc w:val="left"/>
        <w:rPr>
          <w:rFonts w:ascii="Times New Roman" w:hAnsi="Times New Roman"/>
          <w:sz w:val="20"/>
        </w:rPr>
      </w:pPr>
      <w:r>
        <w:rPr>
          <w:rFonts w:ascii="Times New Roman" w:hAnsi="Times New Roman"/>
          <w:sz w:val="20"/>
        </w:rPr>
        <w:t xml:space="preserve">The demand for our services from companies in various energy-related industries is cyclical, and to some extent, seasonal, depending primarily on the capital expenditures of offshore energy companies. These capital expenditures are influenced by such factors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prevailing oil and natural gas prices, particularly with respect to prevailing prices on local price indexes in the areas in which we operate and expectations about future commodity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action of the Organization of the Petroleum Exporting Countries, plus (“OPEC+”), its members and other state-controlled oil companies relating to oil price and production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worldwide and regional economic conditions impacting the global supply and demand for oil and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and international political, military, regulatory and economic conditions, including global inflationary pressures, Russia’s ongoing war with Ukraine and sanctions related thereto, as well as the ongoing conflicts in the Middle East;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and regulatory uncertainty stemming from local or environmental opposition to offshore energy development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exploring for, producing and delivering hydrocarbons;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risks within the countries where we operate that can result in reduced exploration and production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and expiration dates of available offshore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discovery rate, size and location of new hydrocarbon reserves, including in offshore areas;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of decline of existing hydrocarbon reserves due to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laws and regulations related to environmental matters, including those addressing alternative energy sources and the risks of global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exploitation of alternative fuels or energy sources and end-user conservation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local and foreign governmental regulation and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technological advances, including technology related to the exploitation of shale oil, which can result in over-supply of hydrocarbons or a change in demand for hydrocarbons;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offshore energy producers to generate funds for their capital-intensive businesses.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Prices for oil and natural gas have historically been, and we anticipate they will continue to be, extremely volatile and reactive to changes in the supply of and demand for oil and natural gas (including changes resulting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the ability of OPEC+ to establish and maintain production quotas), domestic and worldwide economic conditions and political instability in oil producing countries. In the past, low oil prices have adversely affected demand for our services and any decreases, over a sustained period of time, could have a material adverse effect on our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Our business also depends on our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our customers, could result in significant periodic fluctuations in our results of operations and operating cash flows. If customers do not proceed with the completion of significant projects or if significant defaults on customer payment obligations to us arise, or if we encounter disputes with customers involving such payment obligations, we may face difficulties in collecting payment of amounts due to us, including for costs we previously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of our long-term assets may adversely impact our financial position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periodically evaluate our long-lived assets, including our property and equipment, and intangible assets. In performing these assessments, we project future cash flows on an undiscounted basis for long-lived assets and compare these cash flows to the carrying amount of the related assets. These cash flow projections are based on our current operating plans, estimates and judgmental assumptions. We perform the assessment of potential impairment for our property and equipment and intangibles whenever facts and circumstances indicate that the carrying value of those assets may not be recoverable due to various external or internal factors. In such event, if we determine that our estimates of future cash flows were inaccurate or our actual results are materially different from what we have predicted, we could record additional impairment charges in future periods, which could have a material adverse effect on our financial position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waiver, repeal or administrative weakening of the Jones Act could adversely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Substantial portions of our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 (d) 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us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our business, financial position, results of operations, cash flows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must continue to comply with the Jones Act’s citizenship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Because we own and operate U.S.-flagged vessels in the U.S. coastwise trade, the Jones Act requires that at least 75% of the outstanding shares of each class or series of our capital stock must be owned and controlled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citizens. We are responsible for monitoring the ownership of our equity securities and subsidiaries to ensure compliance with the citizenship requirements of the Jones Act.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operations of the Company’s business may be subject to seasonal factors, which could cause volatility of our earnings from period to period. </w:t>
      </w:r>
    </w:p>
    <w:p>
      <w:pPr>
        <w:pStyle w:val="TextBody"/>
        <w:bidi w:val="0"/>
        <w:spacing w:before="120" w:after="0"/>
        <w:jc w:val="left"/>
        <w:rPr>
          <w:rFonts w:ascii="Times New Roman" w:hAnsi="Times New Roman"/>
          <w:sz w:val="20"/>
        </w:rPr>
      </w:pPr>
      <w:r>
        <w:rPr>
          <w:rFonts w:ascii="Times New Roman" w:hAnsi="Times New Roman"/>
          <w:sz w:val="20"/>
        </w:rPr>
        <w:t xml:space="preserve">Demand for our oilfield-related offshore support services is directly influenced by the levels of offshore drilling and production activity, which are, in turn, affected by a number of factors, including our customers’ budget cycles and seasonal weather conditions. Many of our customers operate on a calendar-year budget, which has historically resulted in stronger demand for our services during the second and third calendar quarters, when customers allocate and expend their budgets and when seasonal weather conditions are generally more favorable for offshore activities. This trend is particularly evident in the U.S. GoA, where offshore activity typically increases during these periods. Furthermore, the impact of seasonality may vary from year to year due to factors such as the expiration of drilling leases, changes in the supply of and demand for oil and natural gas, and other market dynamics.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diversification into non-oilfield related industries may also contribute to further quarterly earnings volatility. For example, the baseline demand for our vessels that provide HADR services tends to increase during the hurricane season and may further increase immediately following major hurricanes or other named storms in the U.S. GoA, as customers require urgent survey and repair of proximate offshore infrastructure. Further, offshore wind construction projects on the U.S. East Coast are also highly seasonal, with project activity generally occurring between April and September, while servicing of existing offshore wind facilities is expected to occur year-round. In contrast, our government business is typically not subject to seasonality due to such customers’ relatively inelastic needs for the services we provide, which is reflected in their higher propensity to enter into long-term contracts than our other end-customers. In addition to seasonal fluctuations, certain of our vessels may also experience temporary downtime to the extent we are required to transition and outfit a vessel in order to meet specific customer needs in connection with a specialty project, which could contribute to further volatility in our revenues and quarterly earnings. </w:t>
      </w:r>
    </w:p>
    <w:p>
      <w:pPr>
        <w:pStyle w:val="TextBody"/>
        <w:bidi w:val="0"/>
        <w:spacing w:before="240" w:after="0"/>
        <w:jc w:val="left"/>
        <w:rPr>
          <w:rFonts w:ascii="Times New Roman" w:hAnsi="Times New Roman"/>
          <w:sz w:val="20"/>
        </w:rPr>
      </w:pPr>
      <w:r>
        <w:rPr>
          <w:rFonts w:ascii="Times New Roman" w:hAnsi="Times New Roman"/>
          <w:sz w:val="20"/>
        </w:rPr>
        <w:t xml:space="preserve">Adverse events, such as hurricanes or other severe weather conditions, during peak demand periods, whether expected or unexpected, could significantly disrupt our operations, damage our assets, or delay our customers’ projects, any of which may have a material adverse effect on our business, financial position, results of operations, cash flows, and prospects. As a result of the above, seasonal fluctuations in demand, weather-related disruptions and the effect of temporary downtime of our vessels while we adapt a vessel for a specialty job, can create unpredictability in our activity levels, vessel utilization rates, and revenue generation, making it difficult to predict future performance based on historical trends.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operations may be impacted by changing macroeconomic conditions, including inflation. </w:t>
      </w:r>
    </w:p>
    <w:p>
      <w:pPr>
        <w:pStyle w:val="TextBody"/>
        <w:bidi w:val="0"/>
        <w:spacing w:before="120" w:after="0"/>
        <w:jc w:val="left"/>
        <w:rPr>
          <w:rFonts w:ascii="Times New Roman" w:hAnsi="Times New Roman"/>
          <w:sz w:val="20"/>
        </w:rPr>
      </w:pPr>
      <w:r>
        <w:rPr>
          <w:rFonts w:ascii="Times New Roman" w:hAnsi="Times New Roman"/>
          <w:sz w:val="20"/>
        </w:rPr>
        <w:t xml:space="preserve">Inflation has been an ongoing concern since 2021 and has continued into 2025. Ongoing inflationary pressures have resulted in, and may continue to result in, additional increases to the costs of goods, services and personnel, which in turn could cause our capital expenditures and operating costs to rise, as well as a scarcity of certain products and raw materials. Like others in our industry, in 2022, 2023 and 2024, we faced, and continue to face, considerable inflation in the cost of raw materials and personnel. International conflicts or other geopolitical events, such as the continuing Russia-Ukraine war and the ongoing conflicts in the Middle East, may also cause upward pressure on the cost of raw materials due to transportation disruptions, higher manufacturing costs, disruptions in supply chains and availability of raw materials, interruptions in manufacturing operations and heightened inflation. To the extent inflation remains elevated, we may experience further cost increases for our operations, as well as increased labor costs. Sustained levels of high inflation caused the U.S. Federal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Reserve to raise its target range for the federal funds rate multiple times in 2022 and 2023, but the U.S. Federal Reserve cut rates multiple times between September and December of 2024, resulting in a total aggregate increase of 425 basis points for the period 2022 through September 30, 2025. The U.S. Federal Reserve’s target rate is currently between 3.75% and 4.00%. Future rate hikes from the U.S. Federal Reserve (or its equivalent in other nations) or other efforts to curb inflationary pressure on the costs of goods and services could have the effect of raising the cost of capital and depressing economic growth, either of which (or the combination thereof) could hurt the financial and operating results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High oil prices are also inflationary and governmental or economic responses to high oil prices could impact the operations of our customers. Sustained high oil prices could also drive over-investment and create the potential for global over-supply, which could cause prices to fall, also impacting investment by our customers. </w:t>
      </w:r>
    </w:p>
    <w:p>
      <w:pPr>
        <w:pStyle w:val="TextBody"/>
        <w:bidi w:val="0"/>
        <w:spacing w:before="240" w:after="0"/>
        <w:jc w:val="left"/>
        <w:rPr>
          <w:rFonts w:ascii="Times New Roman" w:hAnsi="Times New Roman"/>
          <w:sz w:val="20"/>
        </w:rPr>
      </w:pPr>
      <w:r>
        <w:rPr>
          <w:rFonts w:ascii="Times New Roman" w:hAnsi="Times New Roman"/>
          <w:sz w:val="20"/>
        </w:rPr>
        <w:t xml:space="preserve">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our financial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developments in the global oil and gas markets, such as the Russian war with Ukraine and related sanctions, and ongoing conflicts in the Middle East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 </w:t>
      </w:r>
    </w:p>
    <w:p>
      <w:pPr>
        <w:pStyle w:val="TextBody"/>
        <w:bidi w:val="0"/>
        <w:spacing w:before="120" w:after="0"/>
        <w:jc w:val="left"/>
        <w:rPr>
          <w:rFonts w:ascii="Times New Roman" w:hAnsi="Times New Roman"/>
          <w:sz w:val="20"/>
        </w:rPr>
      </w:pPr>
      <w:r>
        <w:rPr>
          <w:rFonts w:ascii="Times New Roman" w:hAnsi="Times New Roman"/>
          <w:sz w:val="20"/>
        </w:rPr>
        <w:t xml:space="preserve">Changes in the supply of and demand for oil and gas impacts the level of services that we provide to customers, which in turn impacts our financial position,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Although as of the date of this prospectus we have not been materially impacted by the resulting supply chain disruptions, the Russian war with Ukraine and related sanctions have significantly disrupted supply chains for crude oil and natural gas. We cannot predict the level of future demand, effects on domestic pricing, and impacts on U.S. oil and gas production. Further, the Russia Ukraine conflict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economic slowdown or recession in Europe or globally,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The U.S. government has also implemented geographic restrictions for certain offshore oil and gas operators and projects, which may reduce the number of projects our vessels may support. While the geographic areas in which we operate are largely unaffected by these sanctions, they could negatively impact our business and financial condition. Further, ongoing conflicts in the Middle East could escalate into a broader conflict that could disrupt energy operations and supply chains globally. </w:t>
      </w:r>
    </w:p>
    <w:p>
      <w:pPr>
        <w:pStyle w:val="TextBody"/>
        <w:bidi w:val="0"/>
        <w:spacing w:before="240" w:after="0"/>
        <w:jc w:val="left"/>
        <w:rPr>
          <w:rFonts w:ascii="Times New Roman" w:hAnsi="Times New Roman"/>
          <w:sz w:val="20"/>
        </w:rPr>
      </w:pPr>
      <w:r>
        <w:rPr>
          <w:rFonts w:ascii="Times New Roman" w:hAnsi="Times New Roman"/>
          <w:sz w:val="20"/>
        </w:rPr>
        <w:t xml:space="preserve">Our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 of credit markets could cause our customers and potential customers to postpone or reduce spending on products or services or put downward pressure on prices, which could have an adverse effect on our business, results of operations or cash flows. In the event of extreme prolonged adverse market events, such as a global credit crisis,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could incur significant losses. The future impact of these current events on our financial condition, results of operations and cash flows depends largely on developments outside our control which cannot be predicted with certainty.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our customers’ businesses are subject to complex laws and regulations that can adversely affect the cost, manner, or feasibility of doing business.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extensive federal, state and local laws and regulations, including complex environmental laws and occupational health and safety laws. We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us to administrative, civil, and criminal penalties. In the event of environmental violations or accidental spills or releases, we may be charged with the costs of investigation, remediation or other corrective actions. In addition, citizen groups and other third parties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our operations were lawful at the time or in accordance with industry standards. In addition, pollution and similar environmental risks generally are not fully insurable. These liabilities and costs could have a material adverse effect on our business, financial condition, results of operations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changes in environmental laws or regulations, including laws relating to the emission of carbon dioxide and other GHGs, disclosure of climate-related information or other climate change concerns, could require us to devote capital or other resources to comply with these laws and regulations.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our business if such laws and regulations reduce the worldwide demand for oil and gas or limit drilling opportunities for our customers.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operate our vessels in a number of international markets and are subject to various international treaties and the local laws and regulations in jurisdictions where our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our ability to carry out operations overseas.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provide services for oil and natural gas exploration and production customers operating offshore in the deepwaters of the U.S. and offshore in other countries. </w:t>
      </w:r>
    </w:p>
    <w:p>
      <w:pPr>
        <w:pStyle w:val="TextBody"/>
        <w:bidi w:val="0"/>
        <w:spacing w:before="240" w:after="0"/>
        <w:jc w:val="left"/>
        <w:rPr>
          <w:rFonts w:ascii="Times New Roman" w:hAnsi="Times New Roman"/>
          <w:sz w:val="20"/>
        </w:rPr>
      </w:pPr>
      <w:r>
        <w:rPr>
          <w:rFonts w:ascii="Times New Roman" w:hAnsi="Times New Roman"/>
          <w:sz w:val="20"/>
        </w:rPr>
        <w:t xml:space="preserve">Any new legislation, executive actions or regulatory initiatives, whether in the U.S. or in other countries, that impose increased costs, more stringent operational standards or result in significant delays, cancellations or disruptions in our customers’ operations, could increase the risk of losing leasing or permitting opportunities, expired leases due to the time required to develop new technology, increased supplemental bonding costs, or cause our customers to incur penalties, fines or shut-in production at one or more of their facilities, any or all of which could reduce demand for our services. We cannot predict with any certainty the full impact of any new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operate in a highly competitive industry. </w:t>
      </w:r>
    </w:p>
    <w:p>
      <w:pPr>
        <w:pStyle w:val="TextBody"/>
        <w:bidi w:val="0"/>
        <w:spacing w:before="120" w:after="0"/>
        <w:jc w:val="left"/>
        <w:rPr>
          <w:rFonts w:ascii="Times New Roman" w:hAnsi="Times New Roman"/>
          <w:sz w:val="20"/>
        </w:rPr>
      </w:pPr>
      <w:r>
        <w:rPr>
          <w:rFonts w:ascii="Times New Roman" w:hAnsi="Times New Roman"/>
          <w:sz w:val="20"/>
        </w:rPr>
        <w:t xml:space="preserve">The offshore drilling and production support industry is both highly competitive and capital intensive and requires substantial resources and investment to satisfy customers and maintain profitability. Our customers award contracts based on price, industry reputation, service quality, vessel offerings and capabilities, transit costs and other similar factors. Increased competition for deepwater and ultra-deepwater drilling contracts could depress dayrates and utilization rates, adversely affecting our profitability. A sustained inability to win contracts in our key markets would put pressure on our ability to service our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diversification into non-oilfield markets could be impacted by reduced investments in the U.S. offshore wind energy market.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may be impacted by reduced investments in the U.S. offshore wind energy market and the inherent complexity of developing wind energy projects. In addition to the state and federal government policies relating to renewable energy, the growth and development of the offshore wind energy market is subject to a number of factors,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new and complex permitting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higher development costs than onshore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and cost of financing for the estimated pipeline of offshore wind energy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fixed price contracts of wind development projects make it difficult to recover cost increases;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deferral or cancellation of offshore wind projects, such as when several operators for east coast wind projects terminated their agreements for the provision of wind power due to higher than expected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dynamics of the electricity market, which may be affected by a number of factors, including government regulation, power transmission, seasonality, fluctuations in demand, and the cost and availability of fuel, particularly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raw materials used to make wind turbines, particularly steel;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increase in demand for electricity or “load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competing power sources, including natural gas, nuclear power, solar power and other power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new power generating technology, advances in existing technology or discovery of power generating natural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of electrical transmission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state and federal laws and regulations, particularly those favoring low carbon energy generation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and legal challenges to proposed offshore wind energy development projects;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heightened focus on environmental or habitat concerns.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example, on December 22, 2025, the Trump administration directed five large-scale offshore wind projects to suspend construction activities for at least 90 days, citing national security concerns. The developers of certain of these projects have filed legal challenges with respect to the validity of the suspension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seeking expedited consideration. If the pause on development persists or additional suspensions are imposed in the future, a number of adverse impacts may follow on the U.S. offshore wind energy space, such as difficulty in maintaining or obtaining project financing, implicated projects could be canceled or otherwise fail, new projects may face additional start-up challenges, regulatory uncertainty may lead to a slowing of future investment in the U.S. offshore wind industry generally, among other similar impacts. Any of the foregoing may decrease current and future customer demand for the specialized services we provide in connection with offshore wind construction, installation and maintenance through our SOVs and CSOVs. In turn, these concerns could result in adverse impacts on our overall business, results of operations and financial condition. Additionally, the occurrence or persistence of any of the factors discussed above could cause the affected developers to ultimately cancel or abandon these projects, which, in turn, could lower the demand for our related services, decrease our overall revenue and cause us to experience additional unexpected downtime and costs as we seek to secure new contracts for our vessels or retrofit them for use in other applications or industries and would have a material adverse effect on our overall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attract and retain qualified, skilled employees necessary to operate our business, and the loss of key personnel could adversely affect our relationship with the military. </w:t>
      </w:r>
    </w:p>
    <w:p>
      <w:pPr>
        <w:pStyle w:val="TextBody"/>
        <w:bidi w:val="0"/>
        <w:spacing w:before="120" w:after="0"/>
        <w:jc w:val="left"/>
        <w:rPr>
          <w:rFonts w:ascii="Times New Roman" w:hAnsi="Times New Roman"/>
          <w:sz w:val="20"/>
        </w:rPr>
      </w:pPr>
      <w:r>
        <w:rPr>
          <w:rFonts w:ascii="Times New Roman" w:hAnsi="Times New Roman"/>
          <w:sz w:val="20"/>
        </w:rPr>
        <w:t xml:space="preserve">Much of our success depends on our ability to attract and retain highly skilled and qualified personnel. Our inability to hire, train and retain a sufficient number of qualified employees, including mariners, could impair our ability to manage, maintain and grow our business. </w:t>
      </w:r>
    </w:p>
    <w:p>
      <w:pPr>
        <w:pStyle w:val="TextBody"/>
        <w:bidi w:val="0"/>
        <w:spacing w:before="240" w:after="0"/>
        <w:jc w:val="left"/>
        <w:rPr>
          <w:rFonts w:ascii="Times New Roman" w:hAnsi="Times New Roman"/>
          <w:sz w:val="20"/>
        </w:rPr>
      </w:pPr>
      <w:r>
        <w:rPr>
          <w:rFonts w:ascii="Times New Roman" w:hAnsi="Times New Roman"/>
          <w:sz w:val="20"/>
        </w:rPr>
        <w:t xml:space="preserve">In crewing our vessels, we require skilled employees who can perform physically demanding work. As a result of past volatility in the oil and gas industry, many industry employees chose to pursue employment in other fields, leading the industry to experience a significant shortfall in qualified mariners. As conditions in the industry have improved, it has become more challenging to engage experienced personnel as crews on our vessels. We face strong competition within the broader oilfield industry for employees and potential employees, including competition from drilling rig operators for fleet personnel. We may have difficulty hiring employees or finding suitable replacements as needed and it is possible that we would have to raise wage rates or increase benefits offered to attract workers and to retain current employees. In such circumstances, if we are unable to increase our service rates to customers to compensate for wage increases or recruit qualified personnel to operate vessels at full utilization, our financial condition and results of operations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ongoing viability and potential growth of our contractual relationship with the U.S. military is dependent on our continued employment of certain key personnel. Any action taken by the U.S. military in response to the loss of key personnel, or potential loss of key personnel, from our operations could adversely affect our current and future business with the military and, in turn, adversely affect our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Further, our operations are dependent upon the efforts and continued employment of our executive officers and key management personnel, including, but not limited to, our Founder, Chairman, President and Chief Executive Officer, Todd M. Hornbeck, who has substantial experience and relationships with our major customers. Given industry management turnover resulting from restructurings and other corporate changes, seasoned managers are in demand. Although we have entered into employment agreements with our executive officers and key management personnel, there is no guarantee that they will remain employed by us. In the event of the loss of key management personnel, we would be required to hire a replacement and there can be no assurance that the replacement will be suitable or favorable to us, which could adversely affect our financial results and operations. The loss of services of one or more of our executive officers or key management personnel could have a negative impact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adversely affected by potential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become parties to litigation. In general, litigation can be expensive and time consuming to bring or defend against. Such litigation could result in settlements or damages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significantly affect our financial results or operations. It is not possible to predict the potential litigation that we may become party to nor the final resolution of such litigation. The impact of any such litigation on our businesses and financial stability, however, could be material.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Stacked vessels, and the reactivation of such vessels, may require substantial capital and operating expenditures and 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Due to then-applicable difficult market conditions, we have in the past elected, and may in the future elect, to stack certain vessels in our fleet in order to reduce the number of crew and personnel that operate and maintain such vessels. Though vessel stacking reduces the costs of operating a vessel, it reduces the number of available vessels we can deploy to service our customers and limits potential revenues. If market conditions should decline, we may be required to stack additional vessels. </w:t>
      </w:r>
    </w:p>
    <w:p>
      <w:pPr>
        <w:pStyle w:val="TextBody"/>
        <w:bidi w:val="0"/>
        <w:spacing w:before="240" w:after="0"/>
        <w:jc w:val="left"/>
        <w:rPr>
          <w:rFonts w:ascii="Times New Roman" w:hAnsi="Times New Roman"/>
          <w:sz w:val="20"/>
        </w:rPr>
      </w:pPr>
      <w:r>
        <w:rPr>
          <w:rFonts w:ascii="Times New Roman" w:hAnsi="Times New Roman"/>
          <w:sz w:val="20"/>
        </w:rPr>
        <w:t xml:space="preserve">When we elect to reactivate the stacked vessels, we will incur substantial capital and operating expenditures. These expenditures could increase as a result of changes in the cost of labor and materials, changes in technology, customer requirements for new or upgraded equipment, the size of our fleet, the cost of replacement parts for existing vessels, the geographic location of the vessels or the length of contracts. We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our financial results and operations. </w:t>
      </w:r>
    </w:p>
    <w:p>
      <w:pPr>
        <w:pStyle w:val="TextBody"/>
        <w:bidi w:val="0"/>
        <w:spacing w:before="240" w:after="0"/>
        <w:jc w:val="left"/>
        <w:rPr>
          <w:rFonts w:ascii="Times New Roman" w:hAnsi="Times New Roman"/>
          <w:sz w:val="20"/>
        </w:rPr>
      </w:pPr>
      <w:r>
        <w:rPr>
          <w:rFonts w:ascii="Times New Roman" w:hAnsi="Times New Roman"/>
          <w:sz w:val="20"/>
        </w:rPr>
        <w:t xml:space="preserve">If we are unable to fund these capital expenditures with our liquidity, we may be required to incur additional borrowings, or seek out additional financing arrangements with banks or other capital providers. Our failure to obtain the funds for necessary future capital expenditures could have a material adverse effect on our business and on our financial position, results of operations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Reactivation of vessels could adversely impact the market for OSVs and MPSVs.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within our fleet, 21 U.S.-flagged OSVs, three foreign-flagged OSVs and two U.S.-flagged MPSVs were stacked. Certain of our competitors have also stacked OSVs and may also stack additional OSVs from time to time. To the extent that we or our competitors reactivate vessels in response to improvement or perceived improvement in market conditions faster than the market can absorb such additional vessels, the market for OSVs could become oversaturated and would adversely affect dayrates and utilization for our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the supply of vessels could decrease dayrates. </w:t>
      </w:r>
    </w:p>
    <w:p>
      <w:pPr>
        <w:pStyle w:val="TextBody"/>
        <w:bidi w:val="0"/>
        <w:spacing w:before="120" w:after="0"/>
        <w:jc w:val="left"/>
        <w:rPr>
          <w:rFonts w:ascii="Times New Roman" w:hAnsi="Times New Roman"/>
          <w:sz w:val="20"/>
        </w:rPr>
      </w:pPr>
      <w:r>
        <w:rPr>
          <w:rFonts w:ascii="Times New Roman" w:hAnsi="Times New Roman"/>
          <w:sz w:val="20"/>
        </w:rPr>
        <w:t xml:space="preserve">A material increase in the supply of OSVs or MPSVs, whether through new construction (including our own), refurbishment or conversion of vessels from other uses, remobilization, reactivation or changes in law or its application could increase competition for charters, lower utilization or lower dayrates, any of which would adversely affect our revenues and profitability. Such an increase in vessel capacity could also exacerbate the impact of any future downturn in the oil and gas industry, which would have an adverse impact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Additionally, because the Jones Act does not cover certain services provided by MPSVs, foreign competitors may deploy additional MPSVs to the U.S. GoA or build additional MPSVs that will compete with us in the U.S. GoA.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early termination of or inability to renew contracts for our vessels could have an adverse effect on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Certain contracts for our vessels, including contracts with the United States government, allow for early termination at the customer’s option. Many of our contracts that contain early termination provisions contain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remedies or other provisions that would compensate us in the event an option is exercised, such as early termination fees, but customers may choose to exercise their termination rights in spite of such remedies or provisions and such remedies may not fully compensate us for the loss of the contract.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economic downturns, customers have requested that we adjust the terms of their contracts to be more customer-friendly, including by assuming greater risks. While we are not required to give such concessions, commercial considerations may dictate that we do so, given the relatively few deepwater and ultra-deepwater customers operating in the U.S. GoA. Certain customers who seek to terminate our contracts may attempt to defeat or circumvent our protections against certain liabilities for which we receive indemnity. Our customers’ ability to perform their obligations under their contracts, including their ability to fulfill their indemnity obligations to us, may be negatively impacted by an economic downturn. Our customers, which include national energy companies, often have significant bargaining leverage over us. Should a counterparty fail to honor its obligations under an agreement with us, we could sustain losses, which could have an adverse effect on our business and on our financial position, results of operations or cash flows. </w:t>
      </w:r>
    </w:p>
    <w:p>
      <w:pPr>
        <w:pStyle w:val="TextBody"/>
        <w:bidi w:val="0"/>
        <w:spacing w:before="240" w:after="0"/>
        <w:jc w:val="left"/>
        <w:rPr>
          <w:rFonts w:ascii="Times New Roman" w:hAnsi="Times New Roman"/>
          <w:sz w:val="20"/>
        </w:rPr>
      </w:pPr>
      <w:r>
        <w:rPr>
          <w:rFonts w:ascii="Times New Roman" w:hAnsi="Times New Roman"/>
          <w:sz w:val="20"/>
        </w:rPr>
        <w:t xml:space="preserve">Until we replace the terminated contracts with new contracts, our business could be temporarily disrupted or adversely affected, as there may be a gap in the operation of the vessels between the current contracts and subsequent contracts, or we may not be able to secure new contracts on substantially similar terms due to the prevailing market or industry conditions at the time of expiration. The fluctuation in the demand for our services may be impacted by volatility in oil and gas markets, which could ultimately adversely affect our financial position, results of operations or cash flows. As of December 31, 2025, within our fleet, 21 U.S.-flagged OSVs, three foreign-flagged OSVs and two U.S.-flagged MPSVs were stacked. Further, as of December 31, 2025, we had 45 existing contracts for our vessels that are currently operating, which have durations ranging from four days to five years. When oil and natural gas prices are low or it is expected that such prices will decrease in the future, we may be unable to obtain contracts at attractive dayrates or at all. We may not be able to obtain new contracts in direct continuation with existing contracts, or depending on prevailing market conditions, we may enter into contracts at dayrates substantially below the existing dayrates or on terms otherwise less favorable.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complete the construction of our remaining two newbuilds and may experience delays related to the newbuilds. </w:t>
      </w:r>
    </w:p>
    <w:p>
      <w:pPr>
        <w:pStyle w:val="TextBody"/>
        <w:bidi w:val="0"/>
        <w:spacing w:before="120" w:after="0"/>
        <w:jc w:val="left"/>
        <w:rPr>
          <w:rFonts w:ascii="Times New Roman" w:hAnsi="Times New Roman"/>
          <w:sz w:val="20"/>
        </w:rPr>
      </w:pPr>
      <w:r>
        <w:rPr>
          <w:rFonts w:ascii="Times New Roman" w:hAnsi="Times New Roman"/>
          <w:sz w:val="20"/>
        </w:rPr>
        <w:t xml:space="preserve">We began constructing two Jones Act-qualified MPSVs under our prior newbuild program. These vessels are large and complex. The cost to complete these vessels will exceed the $42.6 million total remaining contract price we have paid for their completion under the settlement agreement with the Surety. The Surety that has taken over their construction will be required to pay significant sums in excess of our remaining original contract contribution. While the Surety is contractually required to fund these excess costs, it might not do so, which would result in delay and disputes. </w:t>
      </w:r>
    </w:p>
    <w:p>
      <w:pPr>
        <w:pStyle w:val="TextBody"/>
        <w:bidi w:val="0"/>
        <w:spacing w:before="240" w:after="0"/>
        <w:jc w:val="left"/>
        <w:rPr>
          <w:rFonts w:ascii="Times New Roman" w:hAnsi="Times New Roman"/>
          <w:sz w:val="20"/>
        </w:rPr>
      </w:pPr>
      <w:r>
        <w:rPr>
          <w:rFonts w:ascii="Times New Roman" w:hAnsi="Times New Roman"/>
          <w:sz w:val="20"/>
        </w:rPr>
        <w:t xml:space="preserve">Moreover, the vessels are complex and the shipyard performing the completion work for the Surety may be unable or unwilling to perform on the anticipated timeline or at all, also potentially causing delay and disruption to our planned uses for the vessels.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successfully complete repairs, maintenance and routine drydockings on-time and on-budget could adversely affect our financial condition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routinely engage shipyards to drydock vessels for regulatory compliance, repairs and maintenance. Equipment shortages, insufficient shipyard availability, unforeseen engineering issues, work stoppages, weather interference, unanticipated cost increases, inability to obtain necessary certifications and approvals, material shortages, labor issues, and other similar factors could lead to extended delays or additional costs. Significant delays could adversely affect our ability to perform under our contracts, and significant cost overruns could adversely affect our operations and profitability.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December 31, 2025, our total contracted backlog was $695.9 million.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 </w:t>
      </w:r>
    </w:p>
    <w:p>
      <w:pPr>
        <w:pStyle w:val="TextBody"/>
        <w:bidi w:val="0"/>
        <w:spacing w:before="240" w:after="0"/>
        <w:jc w:val="left"/>
        <w:rPr>
          <w:rFonts w:ascii="Times New Roman" w:hAnsi="Times New Roman"/>
          <w:sz w:val="20"/>
        </w:rPr>
      </w:pPr>
      <w:r>
        <w:rPr>
          <w:rFonts w:ascii="Times New Roman" w:hAnsi="Times New Roman"/>
          <w:sz w:val="20"/>
        </w:rPr>
        <w:t xml:space="preserve">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We may not be able to realize the full amount of our total contracted backlog due to events beyond our control. In addition, some of our customers have experienced liquidity issues in the past, including some recently, and these liquidity issues could be experienced again if commodity prices decline for an extended period of time. Liquidity issues and other market pressures could lead our customers to seek bankruptcy protection or to seek to repudiate, cancel or renegotiate these agreements for various reasons. Our inability to realize the full amount of our total contracted backlog may have an adverse effect on our financial position,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addition to industry concentrations, we have certain customer concentrations, and the loss of a significant customer would adversely impact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nine months ended September 30, 2025 and the year ended December 31, 2024, MSC, Shell plc and Occidental Petroleum Company collectively accounted for 42% and 44%, respectively, of our consolidated revenues. The loss or material reduction of business from a significant customer could therefore have a material adverse effect on our results of operations and cash flows. Moreover, our customer contracts subject us to counterparty risks. See “—We may be unable to collect amounts owed to us by customers.” The ability of each of our counterparties to perform their obligations under a contract with us will depend on a number of factors that are beyond our control such as the overall financial condition of the counterparty. Should a significant customer fail to honor its obligations under an agreement with us, we could sustain losses,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completed and future acquisitions by us may create additional risks. </w:t>
      </w:r>
    </w:p>
    <w:p>
      <w:pPr>
        <w:pStyle w:val="TextBody"/>
        <w:bidi w:val="0"/>
        <w:spacing w:before="120" w:after="0"/>
        <w:jc w:val="left"/>
        <w:rPr>
          <w:rFonts w:ascii="Times New Roman" w:hAnsi="Times New Roman"/>
          <w:sz w:val="20"/>
        </w:rPr>
      </w:pPr>
      <w:r>
        <w:rPr>
          <w:rFonts w:ascii="Times New Roman" w:hAnsi="Times New Roman"/>
          <w:sz w:val="20"/>
        </w:rPr>
        <w:t xml:space="preserve">We regularly consider possible acquisitions of single vessels, vessel fleets and businesses, such as our purchases of 19 OSVs since 2022.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management time and attention from existing business and other business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closing the acquisition due to third-party consents, regulatory approvals or other reasons;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effects from disclosed or undisclosed matters pertaining to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or termination of employees and the costs associated with the termination or replacement of such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assumption of debt, litigation or other liabilities of the acquired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incurrence of additional debt related to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expenses and working capital requirements associated with the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dilution of stock ownership of existing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accounting charges for restructuring and related expenses, impairment of goodwill, amortization of intangible assets and stock-based compensation expense;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reactivation of idle vessels, such as higher than anticipated cost or time, unknown condition, and obsolescence or unavailability of spare parts or components.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Uncertainty surrounding potential legal, regulatory and policy changes, as well as the potential for general market volatility and regulatory uncertainty, may have a material adverse effect on our results of operations, cash flows and financial position. </w:t>
      </w:r>
    </w:p>
    <w:p>
      <w:pPr>
        <w:pStyle w:val="TextBody"/>
        <w:bidi w:val="0"/>
        <w:spacing w:before="120" w:after="0"/>
        <w:jc w:val="left"/>
        <w:rPr>
          <w:rFonts w:ascii="Times New Roman" w:hAnsi="Times New Roman"/>
          <w:sz w:val="20"/>
        </w:rPr>
      </w:pPr>
      <w:r>
        <w:rPr>
          <w:rFonts w:ascii="Times New Roman" w:hAnsi="Times New Roman"/>
          <w:sz w:val="20"/>
        </w:rPr>
        <w:t xml:space="preserve">We and our customers, particularly in the oil and natural gas industry, face continued regulatory and tax uncertainties. The nature, timing and economic effects of any potential change to the current legal and regulatory framework affecting our and our customers’ businesses are uncertain. Some changes may adversely affect our or our customers’ operations and have an adverse impact on our business, financial condition, results of operations and growth prospects. In addition, a significant portion of our revenue is generated from contracts with the United States government. For the nine months ended September 30, 2025, charters with the MSC accounted for 16% of our consolidated revenues. Department of Defense (“DoD”) budgets could be negatively impacted by several factors, including, but not limited to, a change in defense spending policy as a result of policy changes or otherwise, the United States government’s budget deficits, any U.S. government shutdown, spending priorities, possible political pressure to reduce United States government military spending and the ability of the U.S. government to enact appropriations bills and other relevant legislation, each of which could cause the DoD budget to remain unchanged or to decline. A significant decline in United States military expenditures could negatively impact our revenue through an inability to enter into favorable charters with the United States government.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contracts with the United States government might not be renewed, may be renewed at lower rates or may impose additional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2023, we were informed that the MSC was conducting a market survey of companies capable of providing services we currently perform pursuant to a ten-year O&amp;M contract scheduled to expire in February 2025. We were subsequently informed that the MSC would seek to renegotiate that O&amp;M contract with us on a sole-source basis. Since beginning the renegotiation, we were awarded contract extensions to continue our support under the O&amp;M contract until February 2026. Due to factors outside our control, including government budget cuts or other political events, such as a prolonged government shutdown, we may be unable to renegotiate the contract on favorable terms or at all. Further, the contract or the sole-source determination may be challenged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Our government contracts may be impacted by new regulatory or legislative requirements that could increase the cost of our government operations or accelerate obsolescence of vessels we employ for the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involves a number of operational risks that may disrupt our business or adversely affect our financial results, and insurance may be unavailable or inadequate to protect against such risks. </w:t>
      </w:r>
    </w:p>
    <w:p>
      <w:pPr>
        <w:pStyle w:val="TextBody"/>
        <w:bidi w:val="0"/>
        <w:spacing w:before="120" w:after="0"/>
        <w:jc w:val="left"/>
        <w:rPr>
          <w:rFonts w:ascii="Times New Roman" w:hAnsi="Times New Roman"/>
          <w:sz w:val="20"/>
        </w:rPr>
      </w:pPr>
      <w:r>
        <w:rPr>
          <w:rFonts w:ascii="Times New Roman" w:hAnsi="Times New Roman"/>
          <w:sz w:val="20"/>
        </w:rPr>
        <w:t xml:space="preserve">Our vessels are subject to operating risks,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catastrophic marine disaster;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weather and sea conditions, which may be exacerbated by the effects of climate change,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mechanical failure;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collisions or allisions;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oil spills or other hazardous substance releases;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navigational errors;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of God;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 terrorism or piracy.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of the enumerated events, or other similar events, may result in vessel damage, vessel loss, personnel injury or death, or environmental contamination. The occurrence of any such event could expose us to liability or costs. </w:t>
      </w:r>
    </w:p>
    <w:p>
      <w:pPr>
        <w:pStyle w:val="TextBody"/>
        <w:bidi w:val="0"/>
        <w:spacing w:before="240" w:after="0"/>
        <w:jc w:val="left"/>
        <w:rPr>
          <w:rFonts w:ascii="Times New Roman" w:hAnsi="Times New Roman"/>
          <w:sz w:val="20"/>
        </w:rPr>
      </w:pPr>
      <w:r>
        <w:rPr>
          <w:rFonts w:ascii="Times New Roman" w:hAnsi="Times New Roman"/>
          <w:sz w:val="20"/>
        </w:rPr>
        <w:t xml:space="preserve">Affected vessels may also be removed from service and thus be unavailable for income-generating activity.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certain of our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our premiums or deductible levels could adversely affect our operating costs. </w:t>
      </w:r>
    </w:p>
    <w:p>
      <w:pPr>
        <w:pStyle w:val="TextBody"/>
        <w:bidi w:val="0"/>
        <w:spacing w:before="240" w:after="0"/>
        <w:jc w:val="left"/>
        <w:rPr>
          <w:rFonts w:ascii="Times New Roman" w:hAnsi="Times New Roman"/>
          <w:sz w:val="20"/>
        </w:rPr>
      </w:pPr>
      <w:r>
        <w:rPr>
          <w:rFonts w:ascii="Times New Roman" w:hAnsi="Times New Roman"/>
          <w:sz w:val="20"/>
        </w:rPr>
        <w:t xml:space="preserve">While we believe that our insurance coverage is adequate and insures against risks that are customary in the industry, we may be unable to renew such coverage in the future at commercially reasonable rates. Moreover, existing or future coverage may not be sufficient to cover claims that may arise, and we do not maintain insurance for loss of income resulting from a marine casualty.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Operations in offshore waters have inherent and historically higher risk than onshore activities, and our operations could be affected by third-party actions. </w:t>
      </w:r>
    </w:p>
    <w:p>
      <w:pPr>
        <w:pStyle w:val="TextBody"/>
        <w:bidi w:val="0"/>
        <w:spacing w:before="120" w:after="0"/>
        <w:jc w:val="left"/>
        <w:rPr>
          <w:rFonts w:ascii="Times New Roman" w:hAnsi="Times New Roman"/>
          <w:sz w:val="20"/>
        </w:rPr>
      </w:pPr>
      <w:r>
        <w:rPr>
          <w:rFonts w:ascii="Times New Roman" w:hAnsi="Times New Roman"/>
          <w:sz w:val="20"/>
        </w:rPr>
        <w:t xml:space="preserve">Offshore operations are subject to a variety of operating risks specific to the marine environment, such as perils of the sea and marine casualty events that such perils can cause or contribute to, including capsizing, collisions, allisions and damage or loss from adverse weather conditions. In addition to being vulnerable to the risks associated with operating offshore, we may also be affected by actions of third-parties. For example, a third-party marine vessel may damage or destroy our assets or an accident caused by a third-party marine vessel may cause us to be subject to remediation and other costs resulting from releases of hazardous materials and other environmental and natural resource damages. In addition to utilization loss of our vessels and increased costs, these hazards could cause serious injuries, fatalities, contamination or property damage for which we could be held responsible. </w:t>
      </w:r>
    </w:p>
    <w:p>
      <w:pPr>
        <w:pStyle w:val="TextBody"/>
        <w:bidi w:val="0"/>
        <w:spacing w:before="240" w:after="0"/>
        <w:jc w:val="left"/>
        <w:rPr>
          <w:rFonts w:ascii="Times New Roman" w:hAnsi="Times New Roman"/>
          <w:sz w:val="20"/>
        </w:rPr>
      </w:pPr>
      <w:r>
        <w:rPr>
          <w:rFonts w:ascii="Times New Roman" w:hAnsi="Times New Roman"/>
          <w:sz w:val="20"/>
        </w:rPr>
        <w:t xml:space="preserve">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our business and on our financial position, results of operations and cash flows.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operations may be materially adversely affected by tropical storms and hurricanes. </w:t>
      </w:r>
    </w:p>
    <w:p>
      <w:pPr>
        <w:pStyle w:val="TextBody"/>
        <w:bidi w:val="0"/>
        <w:spacing w:before="120" w:after="0"/>
        <w:jc w:val="left"/>
        <w:rPr>
          <w:rFonts w:ascii="Times New Roman" w:hAnsi="Times New Roman"/>
          <w:sz w:val="20"/>
        </w:rPr>
      </w:pPr>
      <w:r>
        <w:rPr>
          <w:rFonts w:ascii="Times New Roman" w:hAnsi="Times New Roman"/>
          <w:sz w:val="20"/>
        </w:rPr>
        <w:t xml:space="preserve">Tropical storms, hurricanes and the threat of tropical storms and hurricanes often result in the shutdown of operations in coastal regions, including the GoA, as well as operations within the path and the projected path of the tropical storms or hurricanes. The Atlantic hurricane season is June through November. We may incur losses in our business in excess of: (i) those experienced in prior years, (ii) the average expected level used in pricing, or (iii) current insurance coverage limits. The incidence and severity of severe weather conditions and other natural disasters are inherently unpredictable. In addition, climate change could result in an increase in the frequency and severity of tropical storms, hurricanes or other extreme weather events. Additionally, climate change may adversely impact the demand, price, and availability of insurance. In the future, during a tropical storm or hurricane, we may be unable to operate in the area of the storm. Additionally, tropical storms or hurricanes may cause evacuation of personnel, reduce the areas in which, or the number of days during which, our customers would contract for our vessels in general and cause damage to our vessels and other equipment, which may result in suspension of certain operations. The shutdowns, related evacuations and damage can create unpredictability in activity and utilization rates, as well as delays and cost overruns,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Cybersecurity attacks may result in potential liability or reputational damage or otherwise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 use computerized systems to help run our financial and operations functions, including the processing of payment transactions, store confidential records and conduct vessel operations, which may subject our business to increased risks.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as a result of inadvertent error or by deliberately tampering with or manipulating our operational systems. In addition, dependence upon automated systems, including those on board our vessels, may further increase the risk of operational system flaws, and employee or other tampering or manipulation of those systems will result in losses that are difficult to detect. </w:t>
      </w:r>
    </w:p>
    <w:p>
      <w:pPr>
        <w:pStyle w:val="TextBody"/>
        <w:bidi w:val="0"/>
        <w:spacing w:before="240" w:after="0"/>
        <w:jc w:val="left"/>
        <w:rPr>
          <w:rFonts w:ascii="Times New Roman" w:hAnsi="Times New Roman"/>
          <w:sz w:val="20"/>
        </w:rPr>
      </w:pPr>
      <w:r>
        <w:rPr>
          <w:rFonts w:ascii="Times New Roman" w:hAnsi="Times New Roman"/>
          <w:sz w:val="20"/>
        </w:rPr>
        <w:t xml:space="preserve">Cybersecurity incidents are increasing in frequency and magnitude across all business types. We have experienced attempted cybersecurity attacks but have not suffered any material adverse effect to our business and operations as a result of such attempts. We have implemented security measures, internal controls and testing that are designed to detect and protect against cyberattacks. We regularly update and review our testing protocols, however, no security measure is infallible. Despite these measures and any additional measures we may implement or adopt in the future, our facilities, vessels and systems, and those of our third-party service providers, have been and are vulnerable to security breaches, computer viruses, lost or misplaced data, programming errors, scams, burglary, human errors, misdirected wire transfers, and other adverse events, including threats to our critical operations technologies and process control networks. Third-party systems on which we rely could also suffer such attacks or operational system failures. Any of these occurrences could result in material harm to our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our competitiveness, stock price and long-term shareholder value, or otherwise have an adverse effect on our business, operations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operations in international markets and shipyard activities in foreign shipyards subjects us to risks inherent in conducting business internationally. </w:t>
      </w:r>
    </w:p>
    <w:p>
      <w:pPr>
        <w:pStyle w:val="TextBody"/>
        <w:bidi w:val="0"/>
        <w:spacing w:before="120" w:after="0"/>
        <w:jc w:val="left"/>
        <w:rPr>
          <w:rFonts w:ascii="Times New Roman" w:hAnsi="Times New Roman"/>
          <w:sz w:val="20"/>
        </w:rPr>
      </w:pPr>
      <w:r>
        <w:rPr>
          <w:rFonts w:ascii="Times New Roman" w:hAnsi="Times New Roman"/>
          <w:sz w:val="20"/>
        </w:rPr>
        <w:t xml:space="preserve">We derive a portion of our revenues from foreign sources. In addition, certain of our shipyard repair and procurement activities are being conducted with foreign vendors. We therefore face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We do not hedge against foreign currency risk. While we endeavor to contract in U.S. dollars when operating internationally, some contracts may be denominated in a foreign currency, which would result in a foreign currency exposure risk. We also face risks related to administrative or other legal changes in foreign cabotage laws, or other legal or administrative changes that adversely impact planned or expected offshore energy development. See “—We are regularly confronted with administrative actions taken by Mexican authorities that require a high degree of effort and can be costly to challenge. Not prevailing in any pending or future disputes with Mexican administrative authorities could have a material adverse impact on our operations or financial results.” All of these risks associated with our international operations are beyond our control and difficult to insure against. We cannot predict the nature and the likelihood of any such events. If such an event should occur, however, it could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are covered by federal laws that may subject us to job-related claims in addition to those provided by state laws.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Jones Act, the Death on the High Seas Act and general maritime law cover certain of our employees. These laws preempt state workers’ compensation laws and permit employees and their representatives to pursue actions against employers for job-related tort claims in federal courts. Because we are generally not protected by the damage limits imposed by state workers’ compensation statutes for these types of claims, we may be exposed to higher damage awards for these types of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susceptible to unexpected increases in operating expenses such as crew wages, materials and supplies, maintenance and repairs and insurance costs. </w:t>
      </w:r>
    </w:p>
    <w:p>
      <w:pPr>
        <w:pStyle w:val="TextBody"/>
        <w:bidi w:val="0"/>
        <w:spacing w:before="120" w:after="0"/>
        <w:jc w:val="left"/>
        <w:rPr>
          <w:rFonts w:ascii="Times New Roman" w:hAnsi="Times New Roman"/>
          <w:sz w:val="20"/>
        </w:rPr>
      </w:pPr>
      <w:r>
        <w:rPr>
          <w:rFonts w:ascii="Times New Roman" w:hAnsi="Times New Roman"/>
          <w:sz w:val="20"/>
        </w:rPr>
        <w:t xml:space="preserve">Many of our operating costs, such as crew wages, materials and supplies, maintenance and repairs, and insurance costs are unpredictable and vary based on events beyond our control. Our profitability will vary based on fluctuations in operating costs. If our operating costs increase, we may not be able to recover such costs from customers. Such an increase in operating costs could adversely affect our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collect amounts owed to us by customers. </w:t>
      </w:r>
    </w:p>
    <w:p>
      <w:pPr>
        <w:pStyle w:val="TextBody"/>
        <w:bidi w:val="0"/>
        <w:spacing w:before="120" w:after="0"/>
        <w:jc w:val="left"/>
        <w:rPr>
          <w:rFonts w:ascii="Times New Roman" w:hAnsi="Times New Roman"/>
          <w:sz w:val="20"/>
        </w:rPr>
      </w:pPr>
      <w:r>
        <w:rPr>
          <w:rFonts w:ascii="Times New Roman" w:hAnsi="Times New Roman"/>
          <w:sz w:val="20"/>
        </w:rPr>
        <w:t xml:space="preserve">We typically grant customers credit on a short-term basis. Because we do not typically collect collateralized receivables from customers, we are subject to credit risk on the credit we extend. We estimate uncollectible accounts in our financial statements based on historical losses, current economic conditions, and individual customer evaluations. However, our estimates may not be accurate and the receivables due from customers as reflected in our financial statements may not be collectible.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One of the asserted long-term physical effects of climate change may be an increase in the severity and frequency of adverse weather conditions, such as hurricanes, which may increase our insurance costs or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retention, limit insurance availability or reduce the areas in which, or the number of days during which, our customers would contract for our vessels in general and in the U.S. GoA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w:t>
      </w:r>
    </w:p>
    <w:p>
      <w:pPr>
        <w:pStyle w:val="TextBody"/>
        <w:bidi w:val="0"/>
        <w:spacing w:before="240" w:after="0"/>
        <w:jc w:val="left"/>
        <w:rPr>
          <w:rFonts w:ascii="Times New Roman" w:hAnsi="Times New Roman"/>
          <w:sz w:val="20"/>
        </w:rPr>
      </w:pPr>
      <w:r>
        <w:rPr>
          <w:rFonts w:ascii="Times New Roman" w:hAnsi="Times New Roman"/>
          <w:sz w:val="20"/>
        </w:rPr>
        <w:t xml:space="preserve">Combating the effects of climate change continues to attract global attention, including from regulators, legislators, companies in a variety of industries, financial market participants and other stakeholders. This focus, together with government grants, incentives and subsidies focused on alternative energy development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 (ii) 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 </w:t>
      </w:r>
    </w:p>
    <w:p>
      <w:pPr>
        <w:pStyle w:val="TextBody"/>
        <w:bidi w:val="0"/>
        <w:spacing w:before="240" w:after="0"/>
        <w:jc w:val="left"/>
        <w:rPr>
          <w:rFonts w:ascii="Times New Roman" w:hAnsi="Times New Roman"/>
          <w:sz w:val="20"/>
        </w:rPr>
      </w:pPr>
      <w:r>
        <w:rPr>
          <w:rFonts w:ascii="Times New Roman" w:hAnsi="Times New Roman"/>
          <w:sz w:val="20"/>
        </w:rPr>
        <w:t xml:space="preserve">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ourselves or our customers, could adversely affect our business and the oil and gas industry. Accordingly, our business and operations, and those of our customers, are subject to executive, regulatory, political and financial risks associated with marine transportation,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For example, the adoption of legislation or regulatory programs to reduce GHG emissions could require us or our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our revenues. Furthermore, as our competitors use or develop new technological advances designed to reduce their impacts on the environment or climate change, such as the use of alternative fuels for marine vessels, we may be placed at a competitive disadvantage or may be forced by competitive pressures to implement new technologies at substantial costs.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certain segments of the investor community have recently expressed negative sentiment towards investing in the oil and natural gas industry and associated businesses. Climate change-related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our services or reduce our access to, and increase the cost of, debt or capital. </w:t>
      </w:r>
    </w:p>
    <w:p>
      <w:pPr>
        <w:pStyle w:val="TextBody"/>
        <w:bidi w:val="0"/>
        <w:spacing w:before="240" w:after="0"/>
        <w:jc w:val="left"/>
        <w:rPr>
          <w:rFonts w:ascii="Times New Roman" w:hAnsi="Times New Roman"/>
          <w:sz w:val="20"/>
        </w:rPr>
      </w:pPr>
      <w:r>
        <w:rPr>
          <w:rFonts w:ascii="Times New Roman" w:hAnsi="Times New Roman"/>
          <w:sz w:val="20"/>
        </w:rPr>
        <w:t xml:space="preserve">Any legislation, regulatory programs, technological advances or social pressures related to climate change could increase our or our customers’ operating and compliance costs, reduce demand for our services, and, together with negative investor sentiment, may have a material adverse effect on our business, financial condition, results of operations and cash flows. For further discussion, please see “Business—Government Regulation—Climate 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Increased scrutiny and changing stakeholder expectations with respect to sustainability matters may impact our business and expose us to additional risks. </w:t>
      </w:r>
    </w:p>
    <w:p>
      <w:pPr>
        <w:pStyle w:val="TextBody"/>
        <w:bidi w:val="0"/>
        <w:spacing w:before="120" w:after="0"/>
        <w:jc w:val="left"/>
        <w:rPr>
          <w:rFonts w:ascii="Times New Roman" w:hAnsi="Times New Roman"/>
          <w:sz w:val="20"/>
        </w:rPr>
      </w:pPr>
      <w:r>
        <w:rPr>
          <w:rFonts w:ascii="Times New Roman" w:hAnsi="Times New Roman"/>
          <w:sz w:val="20"/>
        </w:rPr>
        <w:t xml:space="preserve">Companies across all industries are facing increasing scrutiny from stakeholders related to their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our sustainability strategy or any achieve sustainability goals and targets that we have or may set, could damage our reputation, causing our investors or other stakeholders to lose confidence in us, and negatively impact our operations. In addition, we could be criticized for the timing, scope or nature of these initiatives or goals, or for any revisions to them. There can be no assurance that we will be able to accomplish any announced goals, targets initiatives, commitments or objectives related to our sustainability strategy, as statements regarding the same reflect our current plans and aspirations and are not guarantees that we will be able to achieve them within the timelines we announce, or at all. In certain circumstances, we could determine in our discretion that it is not feasible or practical to implement or complete certain of our sustainability goals, targets, initiatives, policies or procedures based on cost, timing or other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Our efforts to research, establish, accomplish and accurately report on the implementation of our sustainability strategy, including any related goals, may also create additional operational risks and expenses and expose us to reputational, legal and other risks. Moreover, while we may create and publish voluntary disclosures regarding sustainability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Challenges brought by third parties could also result in our being penalized or criticized based on any inaccuracy, inadequacy, or incompleteness of such disclosures. The occurrence of any of the foregoing could have a material adverse effect on our reputation, business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 our business and growth opportunities require us to have strong relationships with various key stakeholders, including our investors, employees, suppliers, customers and others. We may face pressures from stakeholders, many of whom are increasingly focused on climate change, to prioritize sustainable energy practices, reduce our carbon footprint and promote sustainability while at the same time remaining a successfully operating business. At the same time, stakeholders and regulators have increasingly expressed or pursued divergent and evolving views, legislation and investment expectations with respect to sustainability, including the enactment or proposal of “anti-ESG” legislation or policies. We may also face negative impacts from consumers who do not support climate-related initiatives or concerns. If we do not successfully manage expectations across these varied stakeholder interests, it could erode our stakeholder trust and thereby affect our brand and reputation. Such erosion of confidence could negatively impact our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 </w:t>
      </w:r>
    </w:p>
    <w:p>
      <w:pPr>
        <w:pStyle w:val="TextBody"/>
        <w:bidi w:val="0"/>
        <w:spacing w:before="240" w:after="0"/>
        <w:jc w:val="left"/>
        <w:rPr>
          <w:rFonts w:ascii="Times New Roman" w:hAnsi="Times New Roman"/>
          <w:sz w:val="20"/>
        </w:rPr>
      </w:pPr>
      <w:r>
        <w:rPr>
          <w:rFonts w:ascii="Times New Roman" w:hAnsi="Times New Roman"/>
          <w:sz w:val="20"/>
        </w:rPr>
        <w:t xml:space="preserve">In addition, organizations that provide information to investors on corporate governance and related matters have developed ratings processes and benchmarking assessments for evaluating companies on their approach to sustainability matters. Such ratings are used by some investors to inform their investment decisions and thus unfavorable ratings could have a negative impact on our access to and cost of capital as well as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Supplier capacity constraints or shortages in parts, equipment or materials, supplier production disruptions, supplier quality and sourcing issues or price increases could increase our operating costs, decrease our revenues and adversely impact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reliance on third-party suppliers, manufacturers and service providers to secure equipment and materials used in our operations exposes us to volatility in the quality, price and availability of such items. During periods of reduced demand, many of these third-party suppliers reduced their inventories of parts and equipment and, in some cases, reduced their production capacity. Further, the volatility of the price of steel can impact the construction and repair costs of our vessels. When we seek to reactivate stacked vessels, upgrade our active vessels or purchase additional vessels, these reductions and global supply chain constraints could make it more difficult for us to find equipment, materials, parts and labor for our vessels. If an alternative vendor to obtain equipment or parts is unavailable, many of the specialized parts and equipment we utilize are rebuildable, can be found in the aftermarket, or can be substituted with crossover components in a similar time period, or if such options were unavailable or could not be completed in a timely manner, we have a sufficient fleet size with legacy technology to use component parts from certain vessels to keep our other vessels running. However, there is a risk that the use of one or more of such alternatives could cause a disruption or delay to our operations resulting in an adverse effect on our business. While we believe we maintain a sufficient inventory of spare parts and equipment and have employed highly-trained, internal technical resources, including engineers and repair technicians, capable of maintaining, repairing or rebuilding the specialized machinery and equipment aboard our vessels, there can be no assurance that these measures would be sufficient to avoid an adverse impact on our business during periods of reduced demand or supply chain constraints. A disruption or delay in the deliveries from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our ability to meet our commitments to customers on a timely basis and adversely impact our operations and revenues by resulting in uncompensated downtime, reduced dayrates, the incurrence of liquidated damages or other penalties or the cancellation or termination of contracts, or increase our operating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unable to effectively and efficiently manage our fleet as we expand or further diversify our business and service offerings, which could cause volatility of our earnings from period to period or have an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expanded, and plan to continue to expand, the size, scope and nature of our business through mergers and acquisitions, resulting in an increase in the breadth of our fleet, the variety of services we offer and the geographic markets in which we operate, including in traditional oilfield drilling, production and specialty services as well as offshore wind, military and other non-oilfield applications. Business expansion and revenue diversification into non-oilfield related industries places increasing demands on us and our fleet. We must anticipate demand well into the future in order to service our extensive customer base. The inability to effectively and efficiently manage our assets to meet the current and future needs of our customers, which may vary widely from our original expectations due to a number of factors beyond our control, including periods of difficult market conditions or slowdowns in any of the business sectors or various regions in which we operate, could have an adverse effect on our business, financial condition and results of operations. Additionally, as we continue to diversify our business, we may experience temporary downtime in use of our vessels as we transition and outfit a vessel in response to changing customer demands and specific needs of a particular project. Further, we could experience any of these conditions simultaneously, which could magnify any adverse impact on our results of operations, including greater volatility of our earnings from period to period, than might have otherwise occurred if such conditions were experienced individually.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principal stockholders are involved in other ventures related to the offshore services industry and have the ability to take actions that could conflict with our interests.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directors, including those directors appointed by our principal stockholders or their investment managers or respective affiliates are involved in the offshore services industry through their direct and indirect participation in businesses which are our potential competitors, service providers or customers. Situations may arise in connection with potential acquisitions, investments or contractual disputes where the other interests of these directors may conflict with our interests. Although our directors with conflicts of interest will be subject to and expected to follow the procedures set out in applicable legislation, regulations, rules and policies, any conflicts of interest may not be resolved in favor of our interests. Additionally, the involvement of our directors with other business ventures may require their time and attention be shared with their other business ventures.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stockholders may also have an interest in pursuing acquisitions, divestitures, financings or other transactions that, in their judgment, could enhance their equity investment, even though such transactions might involve risks to our other investors and lenders. In addition, our principal stockholders and their investment managers and respective affiliates are in the business of making investments in companies and may, from time to time, acquire interests in businesses that directly or indirectly compete with our business, as well as businesses that are significant existing or potential customers or service providers. Our principal stockholders or their investment managers or respective affiliates may also seek to acquire businesses and/or assets that we seek to acquire and, as a result, these acquisition opportunities may not be available to us or may be more expensive for us to pursue.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Legal, Regulatory, Accounting and Tax Matters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may be unable to maintain an effective system of disclosure controls and procedures or internal control over financial reporting and produce timely and accurate financial statements or comply with applicable regulations.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be subject to the reporting requirements of the Securities Exchange Act of 1934, as amended (the “Exchange Act”), the Sarbanes-Oxley Act of 2002 (the “Sarbanes-Oxley Act”) and, if approved for listing, the rules and regulations and the listing standards of NYSE. </w:t>
      </w:r>
    </w:p>
    <w:p>
      <w:pPr>
        <w:pStyle w:val="TextBody"/>
        <w:bidi w:val="0"/>
        <w:spacing w:before="240" w:after="0"/>
        <w:jc w:val="left"/>
        <w:rPr>
          <w:rFonts w:ascii="Times New Roman" w:hAnsi="Times New Roman"/>
          <w:sz w:val="20"/>
        </w:rPr>
      </w:pPr>
      <w:r>
        <w:rPr>
          <w:rFonts w:ascii="Times New Roman" w:hAnsi="Times New Roman"/>
          <w:sz w:val="20"/>
        </w:rPr>
        <w:t xml:space="preserve">The Sarbanes-Oxley Act requires, among other things, that we maintain effective disclosure controls and procedures and internal control over financial reporting. We are continuing to develop and refine our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controls and other procedures that are designed to ensure that information required to be disclosed by us in the reports that we will file with the U.S. Securities and Exchange Commission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w:t>
      </w:r>
    </w:p>
    <w:p>
      <w:pPr>
        <w:pStyle w:val="TextBody"/>
        <w:bidi w:val="0"/>
        <w:spacing w:before="240" w:after="0"/>
        <w:jc w:val="left"/>
        <w:rPr>
          <w:rFonts w:ascii="Times New Roman" w:hAnsi="Times New Roman"/>
          <w:sz w:val="20"/>
        </w:rPr>
      </w:pPr>
      <w:r>
        <w:rPr>
          <w:rFonts w:ascii="Times New Roman" w:hAnsi="Times New Roman"/>
          <w:sz w:val="20"/>
        </w:rPr>
        <w:t xml:space="preserve">We may discover weaknesses in our disclosure controls and procedures and internal control over financial reporting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cause delays in our ability to comply with public company reporting requirements (including under the Exchange Act or stock exchange rules) and could also cause investors to lose confidence in our reported financial and other information, which could have a negative effect on the trading price of our common stock. In addition, if we are unable to continue to meet these requirements, we may not be able to remain listed on the NYSE. We are not currently required to comply with the SEC rules that implement Section 404 of the Sarbanes-Oxley Act (“Section 404”)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w:t>
      </w:r>
    </w:p>
    <w:p>
      <w:pPr>
        <w:pStyle w:val="TextBody"/>
        <w:bidi w:val="0"/>
        <w:spacing w:before="240" w:after="0"/>
        <w:jc w:val="left"/>
        <w:rPr>
          <w:rFonts w:ascii="Times New Roman" w:hAnsi="Times New Roman"/>
          <w:sz w:val="20"/>
        </w:rPr>
      </w:pPr>
      <w:r>
        <w:rPr>
          <w:rFonts w:ascii="Times New Roman" w:hAnsi="Times New Roman"/>
          <w:sz w:val="20"/>
        </w:rPr>
        <w:t xml:space="preserve">Our independent registered public accounting firm is not currently required to formally attest to the effectiveness of our internal control over financial reporting. Once such reporting becomes required,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adverse effect on our business and operating results and could cause a decline in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directors and executive officers may be subject to litigation for a variety of claims, which could harm our reputation and adversely affect our business,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regulatory, antitrust, alleged securities law violations or other investor claims, environmental damage, claims that our employees have wrongfully disclosed or we have wrongfully used proprietary information of our employees’ former employers and other matters. Claims under any such litigation may be material or may be indeterminate.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may also be subject to litigation. The limitation of liability and indemnification provisions that are included in our amended and restated certificate of incorporation, our amended and restated bylaws and indemnification agreements that we have entered into with our directors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 </w:t>
      </w:r>
    </w:p>
    <w:p>
      <w:pPr>
        <w:pStyle w:val="TextBody"/>
        <w:bidi w:val="0"/>
        <w:spacing w:before="240" w:after="0"/>
        <w:jc w:val="left"/>
        <w:rPr>
          <w:rFonts w:ascii="Times New Roman" w:hAnsi="Times New Roman"/>
          <w:sz w:val="20"/>
        </w:rPr>
      </w:pPr>
      <w:r>
        <w:rPr>
          <w:rFonts w:ascii="Times New Roman" w:hAnsi="Times New Roman"/>
          <w:sz w:val="20"/>
        </w:rPr>
        <w:t xml:space="preserve">As litigation is inherently unpredictable, we cannot assure you that any potential claims or disputes will not harm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own the Hornbeck Brands, but may use the Hornbeck Brands pursuant to the terms of a license granted by HFR, and our business may be materially harmed if we breach our license agreement or it is terminated.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this offering, we will amend and restate our Third Amended and Restated Trade Name and Trademark License Agreement, dated September 4, 2020 (the “Third A&amp;R License Agreement”). Pursuant to the Fourth A&amp;R License Agreement (as defined herein) between us and HFR, we will have an exclusive license to use the various Hornbeck trade names and trademarks provided in the Fourth A&amp;R License Agreement, which include “Hornbeck,” “Hornbeck Offshore,” “Hornbeck Offshore Services,” “HOS,” “HOSMAX,” “HOSS” and our current horse head logos (the “Hornbeck Brands”). The Fourth A&amp;R License Agreement will have a term of ten years, which can be extended at our option, provided that Todd M. Hornbeck is our CEO or Chairman of our Board of Directors and we pay a renewal fee of $10 million to HFR (as adjusted for inflation over the first ten-year term). The Fourth A&amp;R License Agreement will be terminable by us for convenience, by HFR for our material breach of the Fourth A&amp;R License Agreement, or if Todd Hornbeck is no longer our CEO or Chairman of our Board of Directors, whether he has been terminated with or without cause or has resigned or departed the Company. In each of these events, we are entitled to a wind-down period of between two and five years, depending upon the reason for termination and the date of its occurrence. </w:t>
      </w:r>
    </w:p>
    <w:p>
      <w:pPr>
        <w:pStyle w:val="TextBody"/>
        <w:bidi w:val="0"/>
        <w:spacing w:before="240" w:after="0"/>
        <w:jc w:val="left"/>
        <w:rPr>
          <w:rFonts w:ascii="Times New Roman" w:hAnsi="Times New Roman"/>
          <w:sz w:val="20"/>
        </w:rPr>
      </w:pPr>
      <w:r>
        <w:rPr>
          <w:rFonts w:ascii="Times New Roman" w:hAnsi="Times New Roman"/>
          <w:sz w:val="20"/>
        </w:rPr>
        <w:t xml:space="preserve">Termination of the Fourth A&amp;R License Agreement would eliminate our rights to use the Hornbeck Brands and to use our corporate name and may result in our having to undergo other significant rebranding efforts. Loss of the rights to use the Hornbeck Brands could disrupt our recognition in the marketplace, damage goodwill we may have generated, and otherwise have a material adverse effect on us. These rebranding efforts may require significant resources and expenses and may affect our ability to attract and retain customers, all of which may have a material adverse effect on our business, contracts, financial condition, operating results, liquidity and prospects. </w:t>
      </w:r>
    </w:p>
    <w:p>
      <w:pPr>
        <w:pStyle w:val="TextBody"/>
        <w:bidi w:val="0"/>
        <w:spacing w:before="240" w:after="0"/>
        <w:jc w:val="left"/>
        <w:rPr>
          <w:rFonts w:ascii="Times New Roman" w:hAnsi="Times New Roman"/>
          <w:sz w:val="20"/>
        </w:rPr>
      </w:pPr>
      <w:r>
        <w:rPr>
          <w:rFonts w:ascii="Times New Roman" w:hAnsi="Times New Roman"/>
          <w:sz w:val="20"/>
        </w:rPr>
        <w:t xml:space="preserve">Our success also depends in part upon successful prosecution, maintenance, enforcement and protection of our owned and licensed intellectual property, including the Hornbeck Brands that we license from HFR. Under the Fourth A&amp;R License Agreement, we will be obligated to take actions to obtain, maintain, enforce and protect the Hornbeck Brands. Should we fail to maintain, enforce or protect the Hornbeck Brands or other intellectual property, we could be materially harmed. See “Certain Relationships and Related Party Transactions—Third and Fourth Amended and Restated License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Defending against intellectual property claims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 </w:t>
      </w:r>
    </w:p>
    <w:p>
      <w:pPr>
        <w:pStyle w:val="TextBody"/>
        <w:bidi w:val="0"/>
        <w:spacing w:before="240" w:after="0"/>
        <w:jc w:val="left"/>
        <w:rPr>
          <w:rFonts w:ascii="Times New Roman" w:hAnsi="Times New Roman"/>
          <w:sz w:val="20"/>
        </w:rPr>
      </w:pPr>
      <w:r>
        <w:rPr>
          <w:rFonts w:ascii="Times New Roman" w:hAnsi="Times New Roman"/>
          <w:sz w:val="20"/>
        </w:rPr>
        <w:t xml:space="preserve">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Subjective estimates and judgments used by management in the preparation of our financial statements, including estimates and judgments that may be required by new or changed accounting standards, may impact our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requires management to make estimates and judgments that affect the reported amounts of assets, liabilities, revenue and expenses. Due to the inherent uncertainty in making 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Changes in tax laws in any of the multiple jurisdictions in which we operate, or adverse outcomes from tax audits that we may be subject to in any such jurisdiction, could result in an unfavorable change in our effective tax rate, which could adversely affect our business, financial condition and operating results. The United States has recently enacted significant changes to U.S. tax law. We are continuing to review the impact of this legislation. Additionally, new income, sales, use, or other tax laws, statutes, rules, regulations, or ordinances could be enacted at any time, or interpreted, changed, modified, or applied adversely to us, any of which could adversely affect our business operations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Further, we operate in a number of jurisdictions, which contributes to the volatility of our effective tax rate. Changes in tax laws or the interpretation of tax laws in the jurisdictions in which we operate may affect our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our tax obligations. In addition, we are required under GAAP to place valuation allowances against our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our effective tax rate. Economic conditions or changes in tax laws may dictate the continued imposition of current valuation allowances and, potentially, the establishment of new valuation allowances. While significant valuation allowances remain, our effective tax rate will likely continue to experience significant fluctuations. Furthermore, certain foreign jurisdictions may take actions to delay our ability to collect value-added tax refunds.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utilize our NOL carryforwards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deferred tax assets related to U.S. federal NOL carryforwards of approximately $59.0 million and state NOL carryforwards of approximately $4.2 million. Our ability to utilize our U.S. federal and state NOL carryforwards depends on many factors, including our future income, which cannot be assured. Section 382 of the Internal Revenue Code of 1986, as amended (the “Code”) generally imposes an annual limitation on the amount of NOLs that may be used to offset taxable income when a corporation has undergone an “ownership change” (as determined under Section 382 of the Code). An ownership change generally occurs if one or more stockholders (or groups of stockholders) who are each deemed to own at least 5% of such corporation’s stock increase their aggregate ownership by more than 50 percentage points over their lowest ownership percentage within a rolling three-year period. In the event that an ownership change occurs, utilization of the relevant corporation’s NOLs would be subject to an annual limitation under Section 382 of the Code, generally determined, subject to certain adjustments, by multiplying (i) the fair market value of the corporation’s equity at the time of the ownership change by (ii) the highest percentage approximately equivalent to the yield on long-term tax-exempt bonds for any month in the three-calendar month period ending with the calendar month in which the ownership change occurs. Any unused annual limitation may be carried over to later years. A portion of our NOLs is already limited under Section 382 of the Code as a result of an ownership change that occurred in connection with our reorganization in September 2020. We do not currently expect that this offering would result in an additional ownership change under Section 382 of the Code; however, future changes in our stock ownership, which may be outside of our control, may trigger an additional ownership change and, consequently, additional limitations under Section 382 of the Code. Any such limitations on our ability to use our NOL carryforwards to offset future taxable income could adversely affect our future cash flows. Many states have similar laws, in addition to laws that suspend, reduce or eliminate the ability to carry losses forward. Our state NOLs relate to Louisiana and a portion of such NOLs are subject to an annual limitation due to the ownership change described above. Accordingly, our state NOLs totaling $4.2 million as of December 31, 2024 may be carried forward indefinitely, but the deductibility of a portion of such state NOLs may be limited to the lesser of 72% of the current year taxable income or the available NOL carryforward for returns filed on or after July 1, 2015.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regularly confronted with administrative actions taken by Mexican authorities that require a high degree of effort and can be costly to challenge. Not prevailing in any pending or future disputes with Mexican administrative authorities could have a material adverse impact on our operations or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In Mexico, we are regularly confronted with actions taken by administrative authorities, which actions create uncertainty for us and require a high degree of effort and can be costly to challenge. </w:t>
      </w:r>
    </w:p>
    <w:p>
      <w:pPr>
        <w:pStyle w:val="TextBody"/>
        <w:bidi w:val="0"/>
        <w:spacing w:before="240" w:after="0"/>
        <w:jc w:val="left"/>
        <w:rPr>
          <w:rFonts w:ascii="Times New Roman" w:hAnsi="Times New Roman"/>
          <w:sz w:val="20"/>
        </w:rPr>
      </w:pPr>
      <w:r>
        <w:rPr>
          <w:rFonts w:ascii="Times New Roman" w:hAnsi="Times New Roman"/>
          <w:sz w:val="20"/>
        </w:rPr>
        <w:t xml:space="preserve">For instance, in 2023, Mexican regulators challenged our right to perform cabotage services in Mexico. We believe that we are fully compliant with Mexican cabotage requirements and took legal action to preserve our cabotage privileges there, resulting in a Mexican court ordering that our privileges be reinstated. However, SEMAR has yet to record our bylaws, which creates uncertainty for our Mexican franchise. Mexican courts can be unpredictable and recent legal changes in Mexico make it more difficult to obtain interim constitutional relief from illegal actions taken by Mexican administrative authorities. If we prevail in our litigation, we expect that we will be able to continue to exercise our reinstated privileges, unless legislative or other actions disallow such operations. If we do not prevail, we expect that we may not be able to continue Mexican cabotage operations under our current structure.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several years the Mexican tax authorities have audited certain of our subsidiaries’ tax returns and asserted certain positions that disallowed significant deductions that we believe were validly applied, resulting in additional taxes, interest and penalties being assessed. We disagree with the positions taken by the tax authorities and the resulting amounts assessed and have had to pursue administrative and legal challenges against the Mexican tax authorities, several of which are ongoing.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that we will continue to face actions from Mexican administrative authorities from time to time that may require us to pursue administrative appeals or litigation, such as those described above. Challenging such actions, regardless of their merit, can be time-consuming, divert management’s attention and resources, cause us to incur significant expenses or require us to change our business practices. There can be no assurances we will prevail in such challenges, and an adverse final outcome in any such future proceedings could have a material adverse impact on our operations and strategic efforts in Mexico and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various anti-corruption laws and regulations and laws and regulations relating to economic sanctions. Violations of these laws and regulations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 </w:t>
      </w:r>
    </w:p>
    <w:p>
      <w:pPr>
        <w:pStyle w:val="TextBody"/>
        <w:bidi w:val="0"/>
        <w:spacing w:before="240" w:after="0"/>
        <w:jc w:val="left"/>
        <w:rPr>
          <w:rFonts w:ascii="Times New Roman" w:hAnsi="Times New Roman"/>
          <w:sz w:val="20"/>
        </w:rPr>
      </w:pPr>
      <w:r>
        <w:rPr>
          <w:rFonts w:ascii="Times New Roman" w:hAnsi="Times New Roman"/>
          <w:sz w:val="20"/>
        </w:rPr>
        <w:t xml:space="preserve">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vessels or other assets, which could have a material adverse effect on our business, financial condition and results of operation. Moreover, we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 </w:t>
      </w:r>
    </w:p>
    <w:p>
      <w:pPr>
        <w:pStyle w:val="TextBody"/>
        <w:bidi w:val="0"/>
        <w:spacing w:before="240" w:after="0"/>
        <w:jc w:val="left"/>
        <w:rPr>
          <w:rFonts w:ascii="Times New Roman" w:hAnsi="Times New Roman"/>
          <w:sz w:val="20"/>
        </w:rPr>
      </w:pPr>
      <w:r>
        <w:rPr>
          <w:rFonts w:ascii="Times New Roman" w:hAnsi="Times New Roman"/>
          <w:sz w:val="20"/>
        </w:rPr>
        <w:t xml:space="preserve">In Mexico, we are regularly confronted with administrative actions taken by tax authorities and SEMAR, which could materially impact our operations there and threaten our strategic efforts in that market.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indebtedness could materially adversely affect our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have a significant amount of indebtedness. As of September 30, 2025, our total indebtedness was approximately $440.0 million, consisting of outstanding principal amount of Second Lien Term Loans due 2033 under the Second Lien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Our substantial indebtedness could have important consequences,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other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to fund future working capital, capital expenditures, acquisitions or other general corporate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dedicate a substantial portion of our cash flows to debt service payments instead of other purposes, thereby reducing the amount of cash flows available for working capital, capital expenditures, acquisitions and other general corporate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and reacting to changes in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disadvantage compared to other, less leveraged competitors;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cost of borrowing.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of the First Lien Credit Agreement and the Second Lien Credit Agreement contains restrictive covenants that limit our ability to engage in activities that may be in our long-term best interest. Our failure to comply with those covenants could result in an event of default which, if not cured or waived, could result in the acceleration of all our debt and/or the exercise of other remedies by the lenders and other secured parties thereunder. See “Management’s Discussion and Analysis of Financial Condition and Results of Operations—Liquidity and Capital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cash to service all of our indebtedness or repay such indebtedness when due and may be forced to take other actions to satisfy our obligations under our indebtedness, such as refinancings, which may not be successful or completed on favorable terms.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cannot be sure that our business will generate sufficient cash flows from operating activities, or that future borrowings will be available, to permit us to pay the principal, premium, if any, and interest on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if necessary, on a timely basis or at all. Even if successful, we may not be able to negotiate such alternative actions on favorable terms and such actions may not be sufficient to allow us to meet our scheduled debt service obligations. </w:t>
      </w:r>
    </w:p>
    <w:p>
      <w:pPr>
        <w:pStyle w:val="TextBody"/>
        <w:bidi w:val="0"/>
        <w:spacing w:before="240" w:after="0"/>
        <w:jc w:val="left"/>
        <w:rPr>
          <w:rFonts w:ascii="Times New Roman" w:hAnsi="Times New Roman"/>
          <w:sz w:val="20"/>
        </w:rPr>
      </w:pPr>
      <w:r>
        <w:rPr>
          <w:rFonts w:ascii="Times New Roman" w:hAnsi="Times New Roman"/>
          <w:sz w:val="20"/>
        </w:rPr>
        <w:t xml:space="preserve">For example, the loans under the Second Lien Credit Agreement mature in January 2033. If, at such time, market conditions are materially different or our credit profile has deteriorated, the cost of refinancing our debt may be significantly higher than our indebtedness existing at that time and may require us to comply with more onerous covenants that could further restrict our business operations, or we may not be able to refinance such debt at all. Additionally, each of the First Lien Credit Agreement and the Second Lien Credit Agreement restricts, and any of our future debt instruments may restrict, our ability to dispose of assets and use the proceeds from those dispositions and may also restrict our ability to raise debt or equity capital to be used to repay other indebtedness when it becomes due. We may not be able to consummate any such dispositions or to obtain proceeds in an amount sufficient to meet any debt service obligations then due. See “Management’s Discussion and Analysis of Financial Condition and Results of Operations—Liquidity and Capital Resources—Debt Agreements.”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meet any future debt service obligations or any inability to obtain any additional financing on terms acceptable to us or to comply therewith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Despite our current level of indebtedness, we and our subsidiaries may still be able to incur substantially more debt. This could further exacerbate the risks to our financial condition described herein. </w:t>
      </w:r>
    </w:p>
    <w:p>
      <w:pPr>
        <w:pStyle w:val="TextBody"/>
        <w:bidi w:val="0"/>
        <w:spacing w:before="120" w:after="0"/>
        <w:jc w:val="left"/>
        <w:rPr>
          <w:rFonts w:ascii="Times New Roman" w:hAnsi="Times New Roman"/>
          <w:sz w:val="20"/>
        </w:rPr>
      </w:pPr>
      <w:r>
        <w:rPr>
          <w:rFonts w:ascii="Times New Roman" w:hAnsi="Times New Roman"/>
          <w:sz w:val="20"/>
        </w:rPr>
        <w:t xml:space="preserve">We and our subsidiaries may be able to incur significant additional indebtedness in the future. Although each of the First Lien Credit Agreement and the Second Lien Credit Agreement contains restrictions on the incurrence of additional indebtedness, these restrictions are subject to a number of qualifications and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additional indebtedness incurred in compliance with these restrictions could be substantial. These restrictions on the incurrence of additional indebtedness also will not prevent us from incurring obligations that do not constitute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First Lien Credit Agreement and the Second Lien Credit Agreement restrict our current and future operations, including our ability to respond to changes or to take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Each of the First Lien Credit Agreement and the Second Lien Credit Agreement contains a number of restrictive covenants that impose significant operating and financial restrictions on us and may limit our ability to engage in acts that may be in our long-term best interest. See “Management’s Discussion and Analysis of Financial Condition and Results of Operations—Liquidity and Capital Resources—Debt Agreements.” The restrictive covenants under the First Lien Credit Agreement and the Second Lien Credit Agreement include restrictions on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additional indebtedness and guarantee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or make other distributions or repurchase or redeem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prepay, redeem or repurchase subordinated, junior lien and unsecured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certain preferred stock or similar equity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and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or otherwise dispose of assets or property, except in certain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or incur liens;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agreements restricting our subsidiaries’ ability to pay dividends, to enter into and perform certain intercompany debt transactions and to transfer assets to us or other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 the sum of our and our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other permitted debt facility) to be less than $25 million as of the last day of any fiscal quarter;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fundamental changes in our business, corporate structure or capital structure, including, among other things, entering into mergers, acquisitions, consolidations and other business combinations.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 result of these restrictions, we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in how we conduct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raise additional debt or equity financing to operate during general economic or business downturns;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unable to compete effectively or to take advantage of new business opportunities. These restrictions may affect our ability to grow in accordance with our strategy.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breach of the covenants or restrictions under the First Lien Credit Agreement or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our bankruptcy or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will incur immediate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Existing stockholders have paid substantially less per share of our common stock than the price in this offering. The initial public offering price per share of our common stock will be substantially higher than the as adjusted net tangible book value per share of outstanding common stock prior to completion of this offering. Based on our as adjusted net tangible book value as of September 30, 2025, and upon the issuance and sale of shares of our common stock by us at an initial public offering price of $     per share (which is the midpoint of the estimated offering price range shown on the cover page of this prospectus), if you purchase our common stock in this offering, you will pay more for your shares than the amounts paid by our existing stockholders for their shares and you will suffer immediate dilution of approximately $     per share. Dilution is the amount by which the offering price paid by purchasers of our common stock in this offering will exceed the as adjusted net tangible book value per share of our common stock upon completion of this offering. You may experience additional dilution upon future equity issuances or upon the exercise of our outstanding Jones Act Warrants or Creditor Warrants, exercise of options to purchase our common stock or the settlement of restricted stock units granted to our employees, executive officers and directors under our 2020 Management Incentive Plan or our 2026 Omnibus Incentive Plan. See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stock price may change significantly following this offering, and you may not be able to resell shares of our common stock at or above the price you paid or at all, and you could lose all or part of your investment as a result. </w:t>
      </w:r>
    </w:p>
    <w:p>
      <w:pPr>
        <w:pStyle w:val="TextBody"/>
        <w:bidi w:val="0"/>
        <w:spacing w:before="120" w:after="0"/>
        <w:jc w:val="left"/>
        <w:rPr>
          <w:rFonts w:ascii="Times New Roman" w:hAnsi="Times New Roman"/>
          <w:sz w:val="20"/>
        </w:rPr>
      </w:pPr>
      <w:r>
        <w:rPr>
          <w:rFonts w:ascii="Times New Roman" w:hAnsi="Times New Roman"/>
          <w:sz w:val="20"/>
        </w:rPr>
        <w:t xml:space="preserve">We and the underwriters will negotiate to determine the initial public offering price. You may not be able to resell your shares at or above the initial public offering price due to a number of factors such as those listed in “—Risks Relating to Our Business”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the expectations of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operations that vary from those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expectations as to our future financial performance, including financial estimates and investment recommendations by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economic conditions for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or earnings and other announcements by,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declines in the market prices of stocks generally, particularly those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strategic actions by us or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our competitors or our suppliers of significant contracts, price reductions, new products or technologies, acquisitions, joint marketing relationships, joint ventures, other strategic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dilution as a result of the exercise of our outstanding Jones Act Warrants or Creditor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preference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or market conditions or trends in our industry or the economy as a whole;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business or regulatory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common stock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perceptions of or the investment opportunity associated with our common stock relative to other investment alternatives;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public’s response to press releases or other public announcements by us or third parties, including our filings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relating to litigation or governmental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guidance, if any, that we provide to the public, any changes in this guidance or our failure to meet this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development and sustainability of an active trading market for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events or factors, including those resulting from informational technology system failures and disruptions, natural disasters, war, acts of terrorism, pandemics or responses to these events.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 </w:t>
      </w:r>
    </w:p>
    <w:p>
      <w:pPr>
        <w:pStyle w:val="TextBody"/>
        <w:bidi w:val="0"/>
        <w:spacing w:before="240" w:after="0"/>
        <w:jc w:val="left"/>
        <w:rPr>
          <w:rFonts w:ascii="Times New Roman" w:hAnsi="Times New Roman"/>
          <w:sz w:val="20"/>
        </w:rPr>
      </w:pPr>
      <w:r>
        <w:rPr>
          <w:rFonts w:ascii="Times New Roman" w:hAnsi="Times New Roman"/>
          <w:sz w:val="20"/>
        </w:rPr>
        <w:t xml:space="preserve">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have no current plans to pay cash dividends on our common stock, you may not receive any return on investment unless you sell your common stock for a price greater than that which you paid for it. </w:t>
      </w:r>
    </w:p>
    <w:p>
      <w:pPr>
        <w:pStyle w:val="TextBody"/>
        <w:bidi w:val="0"/>
        <w:spacing w:before="120" w:after="0"/>
        <w:jc w:val="left"/>
        <w:rPr>
          <w:rFonts w:ascii="Times New Roman" w:hAnsi="Times New Roman"/>
          <w:sz w:val="20"/>
        </w:rPr>
      </w:pPr>
      <w:r>
        <w:rPr>
          <w:rFonts w:ascii="Times New Roman" w:hAnsi="Times New Roman"/>
          <w:sz w:val="20"/>
        </w:rPr>
        <w:t xml:space="preserve">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See “Dividend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As a result, you may not receive any return on an investment in our common stock unless you sell our common stock for a price greater than your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common stock is subject to restrictions on foreign ownership and possible required divestiture by non-U.S. citizen stockholders. </w:t>
      </w:r>
    </w:p>
    <w:p>
      <w:pPr>
        <w:pStyle w:val="TextBody"/>
        <w:bidi w:val="0"/>
        <w:spacing w:before="120" w:after="0"/>
        <w:jc w:val="left"/>
        <w:rPr>
          <w:rFonts w:ascii="Times New Roman" w:hAnsi="Times New Roman"/>
          <w:sz w:val="20"/>
        </w:rPr>
      </w:pPr>
      <w:r>
        <w:rPr>
          <w:rFonts w:ascii="Times New Roman" w:hAnsi="Times New Roman"/>
          <w:sz w:val="20"/>
        </w:rPr>
        <w:t xml:space="preserve">Hornbeck could lose the privilege of owning and operating vessels in the U.S. coastwise trade if non-U.S. citizens were to own or control, in the aggregate, more than 25% of common stock in Hornbeck. Such loss could have a material adverse effect on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authorize our Board of Directors to establish with respect to any class or series of capital stock of Hornbeck certain rules, policies and procedures, including procedures with respect to transfer of shares, to ensure compliance with the Jones Act. In order to provide a reasonable margin for compliance with the Jones Act, our amended and restated certificate of incorporation provides that all non-U.S. citizens in the aggregate may not own more than 21% of the outstanding shares of our common stock, with certain limited grandfathered circumstances allowing up to 24% of the outstanding shares of our common stock to be owned by non-U.S. citizens on and after the effective date of the initial public offering. Our Jones Act trading privileges are conditioned upon foreign ownership of our common stock never exceeding 25%. While we take steps to prevent foreign ownership from exceeding 25%, we do not control trading in our stock and cannot control non-compliance by a foreign purchaser of our stock resulting in our exceeding the foreign citizenship ownership limitations. Moreover, the USCG may temporarily or permanently revoke our coastwise trading privileges if we are not in compliance with the citizenship requirements, which would have a significant negative impact on our operations and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2025, approximately 23.8% of our issued and outstanding common stock is owned by non-U.S. citizens and, after giving effect to this offering, we expect the percentage of our common stock owned by non-U.S. citizens to decrease to approximately    %. Our amended and restated certificate of incorporation provides the Board of Directors with authority to take certain actions to protect our Jones Act status. These actions may include: (i) refusing to recognize any transfer (including our original issuance) that would result in ownership by non-U.S. citizens in the aggregate exceeding 21% of our issued and outstanding common stock, with certain limited grandfathered circumstances allowing up to 24% of the outstanding shares of our common stock to be owned by non-U.S. citizens on and after the effective date of the initial public offering, (ii) treating any such purported transfer as void ab initio or (iii) redeeming any share of our common stock that caused the ownership by non-U.S. citizens to exceed such 21% ownership limitation,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 </w:t>
      </w:r>
    </w:p>
    <w:p>
      <w:pPr>
        <w:pStyle w:val="TextBody"/>
        <w:bidi w:val="0"/>
        <w:spacing w:before="240" w:after="0"/>
        <w:jc w:val="left"/>
        <w:rPr>
          <w:rFonts w:ascii="Times New Roman" w:hAnsi="Times New Roman"/>
          <w:sz w:val="20"/>
        </w:rPr>
      </w:pPr>
      <w:r>
        <w:rPr>
          <w:rFonts w:ascii="Times New Roman" w:hAnsi="Times New Roman"/>
          <w:sz w:val="20"/>
        </w:rPr>
        <w:t xml:space="preserve">U.S. citizens to exceed the applicable permitted limit, and such holder(s)’ interests in those shares will be terminated. Any purported issuance or transfer of shares of our common stock in violation of these ownership provisions will be ineffective to issue or transfer the common stock or any voting, dividend or other rights associated with them. The existence and enforcement of these requirements could have an adverse impact on the liquidity or market value of our equity securities in the event that U.S. citizens were unable to transfer Hornbeck shares to non-U.S. citizens. Furthermore, under certain circumstances, this ownership requirement could discourage, delay or prevent a change of control of Hornbeck.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analysts do not publish research or reports about our business or if they downgrade our stock or our sector,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and the Dodd-Frank Wall Street Reform and Consumer Protection Act, or the Dodd-Frank Act, as well as rules and regulations implemented by the SEC and the exchange on which we list our shares.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requirements to design, implement and maintain effective internal control over financial reporting could have a material adverse effect on our business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As a privately-held company, we were not required to evaluate our internal control over financial reporting in a manner that meets the standards of publicly traded companies required by Section 404(a)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In addition, our independent registered public accounting firm will be required to issue an attestation report on the effectiveness of our internal control over financial reporting in the third annual report following the completion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testing, or the subsequent testing by our independent registered public accounting firm, may reveal deficiencies in our internal controls over financial reporting that are deemed to be material weaknesses which could result in a material misstatement of our annual or quarterly consolidated financial statements or disclosures that may not be prevented or detected.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opinion, investors could lose confidence in our reported financial information, which could have a material adverse effect on the trading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the perception of future sales, by us or our existing stockholders in the public market following this offering could cause the market price for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After this offering, the sale of shares of our common stock in the public market, or the perception that such sales could occur, including sales by our existing stockholders and holders of our Jones Act Warrants and Creditor Warrants, could harm the prevailing market price of shares of our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this offering and after giving effect to the stock split, we will have a total of    shares of our common stock outstanding. Additionally,      shares of our common stock will be issuable upon the exercise of Jones Act Warrants and      shares of our common stock will be issuable upon the exercise of Creditor Warrants (after giving effect to the Repurchases), with an exercise price of $0.00001 per share and $    per share, respectively,     shares of our common stock will be issuable upon exercise of outstanding options, at an average weighted exercise price of $   , or upon settlement of restricted stock units under the 2020 Management Incentive Plan and      shares of common stock underlying the IPO Grants (calculated using the midpoint of the estimated offering price range shown on the cover page of this prospectus). In addition, shares of our common stock will be authorized and reserved for issuance in relation to potential future awards under our 2020 Management Incentive Plan and our 2026 Omnibus Incentive Plan to be adopted in connection with this offering. Of the outstanding shares, the    shares sold in this offering (or      shares if the underwriters exercise in full their option to purchase additional shares) will be freely tradable, other than certain shares sold pursuant to our directed share program that are subject to “lock up” restrictions as described under “Underwriting (Conflicts of Interest),”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in “Shares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(after giving effect to the stock split) held by our principal stockholders and certain of our directors and executive officers after this offering, representing     % of the total outstanding shares of our common stock following this offering, will be “restricted securities” and/or “control securities” within the meanings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our directors and executive officers and certain holders of our outstanding common stock, Jones Act Warrants or Creditor Warrants prior to this offering, including our principal stockholders, will sign lock-up agreements with the underwriters that will, subject to certain exceptions, restrict the disposition of, or hedging with respect to, the shares of our common stock or securities convertible into or exercisable or exchangeable for shares of common stock, each held by them for 180 days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this prospectus, except with the prior written consent of J.P. Morgan Securities LLC and Barclays Capital Inc. See “Underwriting (Conflicts of Interest)” for a description of these lock-up agreements. J.P. Morgan Securities LLC and Barclays Capital Inc., on behalf of the underwriters, may, in their sole discretion, release all or some portion of the shares subject to the 180-day lock-up agreements prior to the expiration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Upon the expiration of the lock-up agreements described above, all of such    shares (other than    shares under the 2020 Management Incentive Plan that are subject to contractual transfer restrictions) will be eligible for resale in a public market, subject, in the case of    shares held by our affiliates, to volume, manner of sale and other limitations under Rule 144. We expect that our principal stockholders and their respective affiliates may be considered our affiliates based on their respective expected share ownership (consisting of approximately    shares held by funds, investment vehicles or accounts managed or advised by Ares or its affiliates,     shares held by Whitebox and     shares held by Highbridge, in each case excluding shares of common stock issuable upon exercise of outstanding Jones Act Warrants and Creditor Warrants owned by them), as well as their board designation rights. Certain other of our stockholders may also be considered affiliates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Registration Rights Agreement (as defined herein), upon the completion of this offering, certain of our existing securityholders party thereto will have the right, subject to certain conditions, to require us to register the offer and sale of certain shares of our common stock owned by them (including shares of common stock issuable upon exercise of any Jones Act Warrants or Creditor Warrants owned by them) under the Securities Act. Registration of any of these shares of common stock would result in such shares becoming freely tradable without compliance with Rule 144 upon effectiveness of the registration statement. For a further description of these rights, see the section entitled “Certain Relationships and Related Party Transactions—Registration Rights Agreement.” Following completion of this offering and the Repurchases, the outstanding shares of our common stock covered by registration rights would represent approximately     % of our outstanding common stock (or     %, if the underwriters exercise in full their option to purchase additional shares). Additionally,    shares of our common stock issuable upon the exercise of Jones Act Warrants and     shares of our common stock issuable upon the exercise of Creditor Warrants will be covered by these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As soon as practicable following this offering, we intend to file one or more registration statements on Form S-8 under the Securities Act to register all shares of our common stock subject to outstanding stock options and subject to issuance upon settlement of restricted stock units the shares of our common stock subject to issuance under our 2020 Management Incentive Plan and our 2026 Omnibus Incentive Plan to be adopted in connection with this offering. Any such Form S-8 registration statements will automatically become effective upon filing. Accordingly, shares registered under such registration statements will be available for sale in the open market. We expect that the initial registration statement on Form S-8 will cover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exercise of all or any number of outstanding Jones Act Warrants or Creditor Warrants or the issuance or vesting of equity awards may dilute your ownership of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Hornbeck has a number of outstanding securities that provide for the right to purchase or receive shares of common stock, including two series of warrants and certain compensatory equity awards. As of December 31, 2025, Hornbeck had 10.1 million shares of common stock issuable upon the exercise of Jones Act Warrants and 1.5 million shares of common stock issuable upon the exercise of Creditor Warrants (    and    , respectively, after giving effect to the stock split), with an exercise price of $0.00001 per share and $27.83 per share ($    per share after giving effect to the stock split), respectively. Investors could be subject to voting dilution upon the exercise of such warrants, each subject to Jones Act-related foreign ownership restrictions. With respect to compensatory equity awards, a total of 1.59 million shares (    shares after giving effect to the stock split) of our common stock have been reserved for issuance under our 2020 Management Incentive Plan as equity-based awards to Hornbeck employees, directors and certain other persons and a total of      shares of our common stock have been reserved for issuance under our 2026 Omnibus Incentive Plan (inclusive of IPO Grants) as equity-based awards to Hornbeck employees, directors and certain other persons. </w:t>
      </w:r>
    </w:p>
    <w:p>
      <w:pPr>
        <w:pStyle w:val="TextBody"/>
        <w:bidi w:val="0"/>
        <w:spacing w:before="240" w:after="0"/>
        <w:jc w:val="left"/>
        <w:rPr>
          <w:rFonts w:ascii="Times New Roman" w:hAnsi="Times New Roman"/>
          <w:sz w:val="20"/>
        </w:rPr>
      </w:pPr>
      <w:r>
        <w:rPr>
          <w:rFonts w:ascii="Times New Roman" w:hAnsi="Times New Roman"/>
          <w:sz w:val="20"/>
        </w:rPr>
        <w:t xml:space="preserve">The grant or vesting of equity awards, including any that we may grant or assume in the future, whether under our 2020 Management Incentive Plan, our 2026 Omnibus Incentive Plan to be adopted in connection with this offering, or any other equity plan sponsored by Hornbeck, and the exercise of warrants and the subsequent issuance of shares of common stock, could have an adverse effect on the market for our common stock, including the price that an investor could obtain for their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a high level of concentrated stock ownership.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stockholders, including our principal stockholders, have significant influence over us as a result of their share ownership. This concentration could lead to conflicts of interest and difficulties for non-insider investors to effect corporate changes, and could adversely affect our Company’s share price. Our principal stockholders, collectively, would hold approximately     % of our issued and outstanding shares of common stock upon the completion of this offering and the Repurchases (giving effect to the exercise of our outstanding Jones Act Warrants and Creditor Warrants) and have the ability to influence all matters submitted to our stockholders for approval (including the election and removal of directors and any merger, consolidation or sale of all or substantially all of our assets).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this concentration of ownership may have the effect of delaying, deferring or preventing a change in control of our Company, impeding a merger, consolidation, takeover or other business combination involving us or discouraging a potential acquirer from making a tender offer or otherwise attempting to obtain control of us, which in turn could have a material adverse effect on the market price of our shares. The issuance of stock options and warrants could lead to greater concentration of share ownership among insiders and could lead to dilution of share ownership which could lead to depressed share prices. In addition, our principal stockholders may have different interests than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organizational documents could delay or prevent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will provide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removal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Appointing Persons (as defined in the amended and restated certificate of incorporation), in the aggregate, hold less than 35% of the outstanding shares of common stock, our amended and restated certificate of incorporation may only be amended by the affirmative vote of the holders of at least two-thirds of the voting power of our then outstanding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advance notice and certain information requirements for nominations for election to our Board of Directors or for proposing matters that can be acted upon by stockholders at stockholder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and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Board of Directors will be authorized to issue and designate shares of our preferred stock without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common stock, which may reduce its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the completion of this offering, our amended and restated certificate of incorporation will impose certain restrictions that may affect our ability to approve certain corporate actions.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conditions, under our amended and restated certificate of incorporation, for so long as our principal stockholders who maintain director nomination rights collectively own at least 30% of our Fully Diluted Securities (as defined in the amended and restated certificate of incorporation), certain corporate actions will require the prior written consent of the Ares principal stockholders and at least one of Whitebox or Highbridge, including, among other things: changing the size of our Board of Directors, consummating a change of control transaction, acquiring or disposing of certain assets, incurring certain indebtedness, certain issuances of equity, entering into voluntary liquidation or the commencement or bankruptcy proceedings, or entering into certain transactions with related parties. Our principal stockholders may have different interests than our other stockholders and may exercise these consent rights in ways that are adverse to the interests of such other stockholders. For more information about the director nomination rights, see “Management— Composition of the Board of Directors,” and for more information about the principal stockholders’ consent rights under our amended and restated certificate of incorporation, see “Description on Capital Stock and Warrants—Consent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Delaware General Corporation Law (the “DGCL”), our amended and restated certificate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If the Court of Chancery lacks subject matter jurisdiction, a federal district court of the United States of America located in the State of Delaware will be the exclusive forum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our stockholders would not be deemed to have waived our compliance with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shares of our capital stock will be deemed to have notice of, and consented to, the provisions of our amended and restated certificate of incorporation described in the preceding sentences.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 provision benefits us by providing increased consistency in the application of Delaware law in the types of lawsuits to which it applies, this choice of forum provision may limit a stockholder’s ability to bring a claim in a judicial forum that it finds favorable for disputes with us or our directors, officers, employees or agents, which may discourage such lawsuits against us and such persons. Additionally, we cannot be certain that a court will decide that these provisions are either applicable or enforceable, and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the business, operating results and financial condition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66194_4"/>
      <w:bookmarkEnd w:id="6"/>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this offering, after deducting estimated underwriting discounts and commissions and estimated offering expenses payable by us, will be approximately $     million, assuming an initial public offering price of $     per share (which is the midpoint of the estimated offering price range shown on the cover page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approximately $     million of the net proceeds to us from this offering, assuming the number of shares offered by us, as set forth on the cover page of this prospectus, remains the same and an initial public offering price of $     per share (which is the midpoint of the estimated offering price range shown on the cover page of this prospectus) to repurchase from certain of the selling stockholders an aggregate of      Creditor Warrants, which Repurchases are expected to occur substantially concurrently with the closing of this offering. Under the Creditor Warrant Repurchase Agreements, the purchase price per Creditor Warrant payable by us will be equal to the product of (i) the price per share of common stock to be paid by the underwriters in this offering, less $     (the per share exercise price of the Creditor Warrants, after giving effect to the stock split), multiplied by (ii)     , the number of shares of common stock issuable upon full exercise of each Creditor Warrant (after giving effect to the stock split). The Repurchases are expected to occur substantially concurrently with the closing of this offering. The closing of each Repurchase is conditioned upon the consummation of this offering. However, this offering is not conditioned upon the consummation of any Repurchase, and none of the Repurchases are conditioned upon the consummation of any other Repurchase. See “Summary—Recent Developments—Creditor Warrant Repurchases.” We intend to use the remaining net proceeds to us from this offering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A $1.00 increase (decrease) in the assumed initial public offering price of $     per share, based on the mid-point of the estimated offering price range set forth on the cover page of this prospectus, would increase (decrease) the net proceeds to us from this offering by approximately $     million, assuming the number of shares offered by us, as set forth on the cover page of this prospectus, remains the same and after deducting estimated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 the estimated offering price range set forth on the cover page of this prospectus, would increase (decrease) our net proceeds from this offering by $     million. To the extent we raise more proceeds in this offering than currently estimated, we will use such proceeds for general corporate purposes. To the extent we raise less proceeds in this offering than currently estimated, we will use less proceeds for the Repurchases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our common stock by the selling stockholders. We will, however, bear the costs associated with the sale of shares of common stock by the selling stockholders, other than underwriting discounts and commissions. For more information, see “Principal and Selling Stockholders” and “Underwriting (Conflicts of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66194_5"/>
      <w:bookmarkEnd w:id="7"/>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If we elect to pay such dividends in the future, we may reduce or discontinue entirely the payment of such dividends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66194_6"/>
      <w:bookmarkEnd w:id="8"/>
      <w:r>
        <w:rPr>
          <w:rFonts w:ascii="Times New Roman" w:hAnsi="Times New Roman"/>
          <w:b/>
          <w:sz w:val="20"/>
        </w:rPr>
        <w:t xml:space="preserve">CAPITALIZATION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our cash and cash equivalents and capitalization as of September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adjusted basis giving effect to the 2025 Tender Offer and the 2025 MIP Repurchases;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an as further adjusted basis giving effect to (i) the filing and effectiveness of our amended and restated certificate of incorporation in connection with the completion of this offering and the implementation of the      -for-one stock split and increase in our authorized shares of common stock to be effected pursuant thereto, (ii) the issuance of     shares of common stock upon the cashless exercise of Jones Act Warrants by certain selling stockholders in connection with this offering, (iii) the issuance and sale by us of     shares of common stock in this offering at the assumed initial offering price of $     per share (the midpoint of the estimated offering price range on the cover page of this prospectus), after deducting underwriting discounts, commissions and estimated offering expenses and (iv) the application of a portion of the net proceeds to us from this offering to consummate the Repurchases as described in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read the information in this table in conjunction with our Financial Statements and the notes to those Financial Statements appearing in this prospectus, as well as the information under the headings “Use of Proceeds” and “Management’s Discussion and Analysis of Financial Condition and Results of Operations.”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4080"/>
        <w:gridCol w:w="232"/>
        <w:gridCol w:w="140"/>
        <w:gridCol w:w="1022"/>
        <w:gridCol w:w="155"/>
        <w:gridCol w:w="187"/>
        <w:gridCol w:w="190"/>
        <w:gridCol w:w="1105"/>
        <w:gridCol w:w="60"/>
        <w:gridCol w:w="232"/>
        <w:gridCol w:w="176"/>
        <w:gridCol w:w="1028"/>
        <w:gridCol w:w="67"/>
      </w:tblGrid>
      <w:tr>
        <w:trPr/>
        <w:tc>
          <w:tcPr>
            <w:tcW w:w="408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08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429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7" w:type="dxa"/>
            <w:tcBorders/>
            <w:vAlign w:val="bottom"/>
          </w:tcPr>
          <w:p>
            <w:pPr>
              <w:pStyle w:val="TableContents"/>
              <w:bidi w:val="0"/>
              <w:spacing w:before="0" w:after="283"/>
              <w:jc w:val="left"/>
              <w:rPr/>
            </w:pPr>
            <w:r>
              <w:rPr/>
              <w:t> </w:t>
            </w:r>
          </w:p>
        </w:tc>
      </w:tr>
      <w:tr>
        <w:trPr/>
        <w:tc>
          <w:tcPr>
            <w:tcW w:w="4080" w:type="dxa"/>
            <w:tcBorders/>
            <w:vAlign w:val="bottom"/>
          </w:tcPr>
          <w:p>
            <w:pPr>
              <w:pStyle w:val="TableContents"/>
              <w:bidi w:val="0"/>
              <w:spacing w:before="0" w:after="283"/>
              <w:jc w:val="left"/>
              <w:rPr>
                <w:b/>
                <w:i/>
              </w:rPr>
            </w:pPr>
            <w:r>
              <w:rPr>
                <w:b/>
                <w:i/>
              </w:rPr>
              <w:t>(in thousands, except for share amounts)</w:t>
            </w:r>
          </w:p>
        </w:tc>
        <w:tc>
          <w:tcPr>
            <w:tcW w:w="232" w:type="dxa"/>
            <w:tcBorders/>
            <w:vAlign w:val="bottom"/>
          </w:tcPr>
          <w:p>
            <w:pPr>
              <w:pStyle w:val="TableContents"/>
              <w:bidi w:val="0"/>
              <w:spacing w:before="0" w:after="283"/>
              <w:jc w:val="left"/>
              <w:rPr/>
            </w:pPr>
            <w:r>
              <w:rPr/>
              <w:t>  </w:t>
            </w:r>
          </w:p>
        </w:tc>
        <w:tc>
          <w:tcPr>
            <w:tcW w:w="11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Further</w:t>
              <w:br/>
              <w:t>Adjusted(1)</w:t>
            </w:r>
          </w:p>
        </w:tc>
        <w:tc>
          <w:tcPr>
            <w:tcW w:w="67" w:type="dxa"/>
            <w:tcBorders/>
            <w:vAlign w:val="bottom"/>
          </w:tcPr>
          <w:p>
            <w:pPr>
              <w:pStyle w:val="TableContents"/>
              <w:bidi w:val="0"/>
              <w:spacing w:before="0" w:after="283"/>
              <w:jc w:val="left"/>
              <w:rPr/>
            </w:pPr>
            <w:r>
              <w:rPr/>
              <w:t> </w:t>
            </w:r>
          </w:p>
        </w:tc>
      </w:tr>
      <w:tr>
        <w:trPr/>
        <w:tc>
          <w:tcPr>
            <w:tcW w:w="4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equivalents(2)</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97,757</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47,417</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8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80" w:type="dxa"/>
            <w:tcBorders/>
          </w:tcPr>
          <w:p>
            <w:pPr>
              <w:pStyle w:val="TableContents"/>
              <w:bidi w:val="0"/>
              <w:spacing w:before="0" w:after="0"/>
              <w:jc w:val="left"/>
              <w:rPr>
                <w:rFonts w:ascii="Times New Roman" w:hAnsi="Times New Roman"/>
                <w:sz w:val="20"/>
              </w:rPr>
            </w:pPr>
            <w:r>
              <w:rPr>
                <w:rFonts w:ascii="Times New Roman" w:hAnsi="Times New Roman"/>
                <w:sz w:val="20"/>
              </w:rPr>
              <w:t>Long-term indebtedness(3)</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Lien Term Loans(4)</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440,314</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440,314</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8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8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2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sz w:val="4"/>
                <w:szCs w:val="4"/>
              </w:rPr>
            </w:pPr>
            <w:r>
              <w:rPr>
                <w:sz w:val="4"/>
                <w:szCs w:val="4"/>
              </w:rPr>
            </w:r>
          </w:p>
        </w:tc>
        <w:tc>
          <w:tcPr>
            <w:tcW w:w="11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including paid-in capital: par value $0.00001 per share; 50,000,000 shares authorized and 5,419,847 shares issued and outstanding, actual; 50,000,000 shares authorized and 5,232,311 shares issued and outstanding, as adjusted;    shares authorized and    shares issued and outstanding, as further adjusted</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80"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 in capital</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268,358</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257,370</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303,420</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264,068</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028"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080"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(809</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(809)</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028"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408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3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570,969</w:t>
            </w:r>
          </w:p>
        </w:tc>
        <w:tc>
          <w:tcPr>
            <w:tcW w:w="155"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520,629</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408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080"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2" w:type="dxa"/>
            <w:tcBorders/>
            <w:vAlign w:val="bottom"/>
          </w:tcPr>
          <w:p>
            <w:pPr>
              <w:pStyle w:val="TableContents"/>
              <w:bidi w:val="0"/>
              <w:spacing w:before="0" w:after="283"/>
              <w:jc w:val="right"/>
              <w:rPr/>
            </w:pPr>
            <w:r>
              <w:rPr/>
              <w:t>1,011,283</w:t>
            </w:r>
          </w:p>
        </w:tc>
        <w:tc>
          <w:tcPr>
            <w:tcW w:w="155"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w:t>
            </w:r>
          </w:p>
        </w:tc>
        <w:tc>
          <w:tcPr>
            <w:tcW w:w="1105" w:type="dxa"/>
            <w:tcBorders/>
            <w:vAlign w:val="bottom"/>
          </w:tcPr>
          <w:p>
            <w:pPr>
              <w:pStyle w:val="TableContents"/>
              <w:bidi w:val="0"/>
              <w:spacing w:before="0" w:after="283"/>
              <w:jc w:val="right"/>
              <w:rPr/>
            </w:pPr>
            <w:r>
              <w:rPr/>
              <w:t>960,943</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4080"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90" w:type="dxa"/>
            <w:tcBorders/>
            <w:vAlign w:val="bottom"/>
          </w:tcPr>
          <w:p>
            <w:pPr>
              <w:pStyle w:val="TableContents"/>
              <w:pBdr>
                <w:top w:val="double" w:sz="6" w:space="1" w:color="000000"/>
              </w:pBdr>
              <w:bidi w:val="0"/>
              <w:spacing w:before="0" w:after="0"/>
              <w:jc w:val="left"/>
              <w:rPr/>
            </w:pPr>
            <w:r>
              <w:rPr/>
              <w:t> </w:t>
            </w:r>
          </w:p>
        </w:tc>
        <w:tc>
          <w:tcPr>
            <w:tcW w:w="11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$1.00 increase (decrease) in the assumed initial public offering price of $    per share, based on the midpoint of the estimated offering price range set forth on the cover page of this prospectus, would increase (decrease), as applicable, cash and cash equivalents, additional paid-in-capital, total stockholders’ equity and total capitalization by approximately $    million, assuming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shares offered by us from the expected number of shares to be sold by us in this offering, assuming no change in the assumed initial public offering price per share, the midpoint of the estimated offering price range set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 </w:t>
            </w:r>
          </w:p>
        </w:tc>
        <w:tc>
          <w:tcPr>
            <w:tcW w:w="9802" w:type="dxa"/>
            <w:tcBorders/>
          </w:tcPr>
          <w:p>
            <w:pPr>
              <w:pStyle w:val="TableContents"/>
              <w:bidi w:val="0"/>
              <w:spacing w:before="0" w:after="283"/>
              <w:jc w:val="left"/>
              <w:rPr/>
            </w:pPr>
            <w:r>
              <w:rPr/>
              <w:t xml:space="preserve">forth on the cover page of this prospectus, would increase (decrease), as applicable, cash and cash equivalents, additional paid-in capital, total stockholders’ equity and total capitalization by approximately $    million, after deducting estimated underwriting discounts and commissions and estimated offering expenses payable by 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give effect to $65.2 million remaining to be incurred in connection with additional outfitting of the two newbuild MPSVs.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January 13, 2026, there were no Revolving Loans outstanding under the First Lien Revolving Credit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are net of original issue discount of $6.0 million and deferred financing costs of $2.0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outstanding share information in the table above is based on      shares of our common stock outstanding as of September 30, 2025, after giving effect to the adjustments described above, and does not reflect: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exercise of outstanding Jones Act Warrants, at an exercise price of $0.00001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exercise of outstanding Creditor Warrants (after giving effect to the Repurchases), at an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upon the exercise of outstanding options at an average weighted exercise price of $    or the vesting of restricted stock units issued under our 2020 Management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 xml:space="preserve">     </w:t>
            </w:r>
            <w:r>
              <w:rPr>
                <w:rFonts w:ascii="Times New Roman" w:hAnsi="Times New Roman"/>
                <w:sz w:val="20"/>
              </w:rPr>
              <w:t xml:space="preserve">shares of common stock underlying the IPO Grants (calculated using the midpoint of the estimated offering price range shown on the cover page of this prospectus) as described in “Executive Compensation—Go-Forward Compensation Arrangements-IPO Equity Grants”;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 xml:space="preserve">     </w:t>
            </w:r>
            <w:r>
              <w:rPr>
                <w:rFonts w:ascii="Times New Roman" w:hAnsi="Times New Roman"/>
                <w:sz w:val="20"/>
              </w:rPr>
              <w:t xml:space="preserve">shares of common stock that may be issued pursuant to future awards under our 2020 Management Incentive Plan or our 2026 Omnibus Incentive Plan to be in effect following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66194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in us will be diluted to the extent of the difference between the initial public offering price per share of our common stock and the as adjusted net tangible book value per share of our common stock after this offering. Dilution results from the fact that the per share offering price of the common stock is substantially in excess of the book value per share attributable to the shares of common stock held by existing stockholders. Because the stock split will take place prior to or concurrently with the closing of this offering, we have presented dilution in as adjusted net tangible book value per share before this offering assuming the implementation of a     -for-one stock split with respect to our common stock, in order to more meaningfully present the dilutive impact on the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as adjusted net tangible book value as of September 30, 2025 was approximately $    million, or $    per share of our common stock ($    per share after giving effect to the stock split). We calculate as adjusted net tangible book value per share by taking the amount of our total tangible assets, reduced by the amount of our total liabilities, and then dividing that amount by the total number of shares of common stock outstanding after giving effect to the stock split.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(i) the sale of shares of our common stock in this offering by the Company and the selling stockholders at an initial public offering price of $     per share (the midpoint of the estimated offering price range shown on the cover of this prospectus), after deducting the underwriting discounts and commissions and estimated offering expenses payable by us, (ii) the application of the net proceeds to us from this offering as set forth under “Use of Proceeds,” and (iii) the stock split, our as adjusted net tangible book value as of September 30, 2025 would have been $     million, or $     per share of our common stock. This amount represents an immediate increase in net tangible book value of $     per share to existing stockholders and an immediate and substantial dilution in net tangible book value of $     per share to investors purchasing shares in this offering at the initial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basis: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6115"/>
        <w:gridCol w:w="273"/>
        <w:gridCol w:w="140"/>
        <w:gridCol w:w="805"/>
        <w:gridCol w:w="60"/>
        <w:gridCol w:w="273"/>
        <w:gridCol w:w="140"/>
        <w:gridCol w:w="805"/>
        <w:gridCol w:w="63"/>
      </w:tblGrid>
      <w:tr>
        <w:trPr/>
        <w:tc>
          <w:tcPr>
            <w:tcW w:w="6115"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public offering price per share of common stock (the midpoint of the estimated offering price range shown on the cover page of this prospectus)</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15"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September 30, 2025</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tangible book value per share attributable to investors in this offering</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15"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this offering</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1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in this offering</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Dilution is determined by subtracting as adjusted net tangible book value per share of common stock after the offering from the initial public offering price per share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as of September 30, 2025,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an initial public offering price of $     per share for shares purchased in this offering and excludes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08"/>
        <w:gridCol w:w="199"/>
        <w:gridCol w:w="65"/>
        <w:gridCol w:w="847"/>
        <w:gridCol w:w="352"/>
        <w:gridCol w:w="146"/>
        <w:gridCol w:w="60"/>
        <w:gridCol w:w="647"/>
        <w:gridCol w:w="286"/>
        <w:gridCol w:w="146"/>
        <w:gridCol w:w="95"/>
        <w:gridCol w:w="1256"/>
        <w:gridCol w:w="95"/>
        <w:gridCol w:w="260"/>
        <w:gridCol w:w="95"/>
        <w:gridCol w:w="501"/>
        <w:gridCol w:w="286"/>
        <w:gridCol w:w="146"/>
        <w:gridCol w:w="169"/>
        <w:gridCol w:w="677"/>
        <w:gridCol w:w="69"/>
      </w:tblGrid>
      <w:tr>
        <w:trPr/>
        <w:tc>
          <w:tcPr>
            <w:tcW w:w="3808"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808"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1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3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6" w:type="dxa"/>
            <w:gridSpan w:val="2"/>
            <w:tcBorders/>
            <w:vAlign w:val="bottom"/>
          </w:tcPr>
          <w:p>
            <w:pPr>
              <w:pStyle w:val="TableContents"/>
              <w:pBdr>
                <w:bottom w:val="single" w:sz="8" w:space="1" w:color="000000"/>
              </w:pBdr>
              <w:bidi w:val="0"/>
              <w:spacing w:before="0" w:after="0"/>
              <w:jc w:val="left"/>
              <w:rPr/>
            </w:pPr>
            <w:r>
              <w:rPr/>
              <w:t> </w:t>
            </w:r>
          </w:p>
        </w:tc>
        <w:tc>
          <w:tcPr>
            <w:tcW w:w="69" w:type="dxa"/>
            <w:tcBorders/>
            <w:vAlign w:val="bottom"/>
          </w:tcPr>
          <w:p>
            <w:pPr>
              <w:pStyle w:val="TableContents"/>
              <w:bidi w:val="0"/>
              <w:spacing w:before="0" w:after="283"/>
              <w:jc w:val="left"/>
              <w:rPr/>
            </w:pPr>
            <w:r>
              <w:rPr/>
              <w:t> </w:t>
            </w:r>
          </w:p>
        </w:tc>
      </w:tr>
      <w:tr>
        <w:trPr/>
        <w:tc>
          <w:tcPr>
            <w:tcW w:w="3808" w:type="dxa"/>
            <w:tcBorders/>
            <w:vAlign w:val="bottom"/>
          </w:tcPr>
          <w:p>
            <w:pPr>
              <w:pStyle w:val="TableContents"/>
              <w:bidi w:val="0"/>
              <w:spacing w:before="0" w:after="283"/>
              <w:jc w:val="left"/>
              <w:rPr>
                <w:b/>
                <w:i/>
              </w:rPr>
            </w:pPr>
            <w:r>
              <w:rPr>
                <w:b/>
                <w:i/>
              </w:rPr>
              <w:t>($ in millions, except per share amounts)</w:t>
            </w:r>
          </w:p>
        </w:tc>
        <w:tc>
          <w:tcPr>
            <w:tcW w:w="199"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9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Avg/Share</w:t>
            </w:r>
          </w:p>
        </w:tc>
        <w:tc>
          <w:tcPr>
            <w:tcW w:w="69" w:type="dxa"/>
            <w:tcBorders/>
            <w:vAlign w:val="bottom"/>
          </w:tcPr>
          <w:p>
            <w:pPr>
              <w:pStyle w:val="TableContents"/>
              <w:bidi w:val="0"/>
              <w:spacing w:before="0" w:after="283"/>
              <w:jc w:val="left"/>
              <w:rPr/>
            </w:pPr>
            <w:r>
              <w:rPr/>
              <w:t> </w:t>
            </w:r>
          </w:p>
        </w:tc>
      </w:tr>
      <w:tr>
        <w:trPr/>
        <w:tc>
          <w:tcPr>
            <w:tcW w:w="3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stockholders</w:t>
            </w:r>
          </w:p>
        </w:tc>
        <w:tc>
          <w:tcPr>
            <w:tcW w:w="19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283"/>
              <w:jc w:val="left"/>
              <w:rPr/>
            </w:pPr>
            <w:r>
              <w:rPr/>
              <w:t>(1)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677"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808" w:type="dxa"/>
            <w:tcBorders/>
          </w:tcPr>
          <w:p>
            <w:pPr>
              <w:pStyle w:val="TableContents"/>
              <w:bidi w:val="0"/>
              <w:spacing w:before="0" w:after="0"/>
              <w:jc w:val="left"/>
              <w:rPr>
                <w:rFonts w:ascii="Times New Roman" w:hAnsi="Times New Roman"/>
                <w:sz w:val="20"/>
              </w:rPr>
            </w:pPr>
            <w:r>
              <w:rPr>
                <w:rFonts w:ascii="Times New Roman" w:hAnsi="Times New Roman"/>
                <w:sz w:val="20"/>
              </w:rPr>
              <w:t>New investors in this offering</w:t>
            </w:r>
          </w:p>
        </w:tc>
        <w:tc>
          <w:tcPr>
            <w:tcW w:w="19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847" w:type="dxa"/>
            <w:tcBorders/>
            <w:vAlign w:val="bottom"/>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808"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847" w:type="dxa"/>
            <w:tcBorders/>
            <w:vAlign w:val="bottom"/>
          </w:tcPr>
          <w:p>
            <w:pPr>
              <w:pStyle w:val="TableContents"/>
              <w:pBdr>
                <w:top w:val="single" w:sz="2"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501"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67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8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47" w:type="dxa"/>
            <w:tcBorders/>
            <w:shd w:fill="CCEEFF" w:val="clear"/>
            <w:vAlign w:val="bottom"/>
          </w:tcPr>
          <w:p>
            <w:pPr>
              <w:pStyle w:val="TableContents"/>
              <w:bidi w:val="0"/>
              <w:spacing w:before="0" w:after="283"/>
              <w:jc w:val="right"/>
              <w:rPr/>
            </w:pPr>
            <w:r>
              <w:rPr/>
              <w:t>   </w:t>
            </w:r>
          </w:p>
        </w:tc>
        <w:tc>
          <w:tcPr>
            <w:tcW w:w="3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7" w:type="dxa"/>
            <w:tcBorders/>
            <w:shd w:fill="CCEEFF" w:val="clear"/>
            <w:vAlign w:val="bottom"/>
          </w:tcPr>
          <w:p>
            <w:pPr>
              <w:pStyle w:val="TableContents"/>
              <w:bidi w:val="0"/>
              <w:spacing w:before="0" w:after="283"/>
              <w:jc w:val="right"/>
              <w:rPr/>
            </w:pPr>
            <w:r>
              <w:rPr/>
              <w:t>%</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26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677"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808"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847" w:type="dxa"/>
            <w:tcBorders/>
            <w:vAlign w:val="bottom"/>
          </w:tcPr>
          <w:p>
            <w:pPr>
              <w:pStyle w:val="TableContents"/>
              <w:pBdr>
                <w:top w:val="double" w:sz="6" w:space="1" w:color="000000"/>
              </w:pBdr>
              <w:bidi w:val="0"/>
              <w:spacing w:before="0" w:after="0"/>
              <w:jc w:val="left"/>
              <w:rPr/>
            </w:pPr>
            <w:r>
              <w:rPr/>
              <w:t> </w:t>
            </w:r>
          </w:p>
        </w:tc>
        <w:tc>
          <w:tcPr>
            <w:tcW w:w="352"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double" w:sz="6" w:space="1" w:color="000000"/>
              </w:pBdr>
              <w:bidi w:val="0"/>
              <w:spacing w:before="0" w:after="0"/>
              <w:jc w:val="left"/>
              <w:rPr/>
            </w:pPr>
            <w:r>
              <w:rPr/>
              <w:t> </w:t>
            </w:r>
          </w:p>
        </w:tc>
        <w:tc>
          <w:tcPr>
            <w:tcW w:w="501"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677"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shares owned by the selling stockholders that will be purchased by new investors as a result of this offering (including     shares of common stock to be issued upon the cashless exercise of Jones Act Warrants by certain selling stockholders in connection with this offering): </w:t>
            </w:r>
          </w:p>
        </w:tc>
      </w:tr>
    </w:tbl>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3646"/>
        <w:gridCol w:w="145"/>
        <w:gridCol w:w="85"/>
        <w:gridCol w:w="1105"/>
        <w:gridCol w:w="85"/>
        <w:gridCol w:w="186"/>
        <w:gridCol w:w="85"/>
        <w:gridCol w:w="490"/>
        <w:gridCol w:w="275"/>
        <w:gridCol w:w="94"/>
        <w:gridCol w:w="95"/>
        <w:gridCol w:w="1248"/>
        <w:gridCol w:w="95"/>
        <w:gridCol w:w="203"/>
        <w:gridCol w:w="95"/>
        <w:gridCol w:w="524"/>
        <w:gridCol w:w="275"/>
        <w:gridCol w:w="94"/>
        <w:gridCol w:w="60"/>
        <w:gridCol w:w="843"/>
        <w:gridCol w:w="68"/>
      </w:tblGrid>
      <w:tr>
        <w:trPr/>
        <w:tc>
          <w:tcPr>
            <w:tcW w:w="3646"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64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0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3" w:type="dxa"/>
            <w:gridSpan w:val="2"/>
            <w:tcBorders/>
            <w:vAlign w:val="bottom"/>
          </w:tcPr>
          <w:p>
            <w:pPr>
              <w:pStyle w:val="TableContents"/>
              <w:pBdr>
                <w:bottom w:val="single" w:sz="8" w:space="1" w:color="000000"/>
              </w:pBdr>
              <w:bidi w:val="0"/>
              <w:spacing w:before="0" w:after="0"/>
              <w:jc w:val="left"/>
              <w:rPr/>
            </w:pPr>
            <w:r>
              <w:rPr/>
              <w:t> </w:t>
            </w:r>
          </w:p>
        </w:tc>
        <w:tc>
          <w:tcPr>
            <w:tcW w:w="68" w:type="dxa"/>
            <w:tcBorders/>
            <w:vAlign w:val="bottom"/>
          </w:tcPr>
          <w:p>
            <w:pPr>
              <w:pStyle w:val="TableContents"/>
              <w:bidi w:val="0"/>
              <w:spacing w:before="0" w:after="283"/>
              <w:jc w:val="left"/>
              <w:rPr/>
            </w:pPr>
            <w:r>
              <w:rPr/>
              <w:t> </w:t>
            </w:r>
          </w:p>
        </w:tc>
      </w:tr>
      <w:tr>
        <w:trPr/>
        <w:tc>
          <w:tcPr>
            <w:tcW w:w="3646"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8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9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6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Avg/Share</w:t>
            </w:r>
          </w:p>
        </w:tc>
        <w:tc>
          <w:tcPr>
            <w:tcW w:w="68" w:type="dxa"/>
            <w:tcBorders/>
            <w:vAlign w:val="bottom"/>
          </w:tcPr>
          <w:p>
            <w:pPr>
              <w:pStyle w:val="TableContents"/>
              <w:bidi w:val="0"/>
              <w:spacing w:before="0" w:after="283"/>
              <w:jc w:val="left"/>
              <w:rPr/>
            </w:pPr>
            <w:r>
              <w:rPr/>
              <w:t> </w:t>
            </w:r>
          </w:p>
        </w:tc>
      </w:tr>
      <w:tr>
        <w:trPr/>
        <w:tc>
          <w:tcPr>
            <w:tcW w:w="36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stockholders</w:t>
            </w:r>
          </w:p>
        </w:tc>
        <w:tc>
          <w:tcPr>
            <w:tcW w:w="14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24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5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3"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3646"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105"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49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1248" w:type="dxa"/>
            <w:tcBorders/>
            <w:vAlign w:val="bottom"/>
          </w:tcPr>
          <w:p>
            <w:pPr>
              <w:pStyle w:val="TableContents"/>
              <w:pBdr>
                <w:top w:val="single" w:sz="2" w:space="1" w:color="000000"/>
              </w:pBdr>
              <w:bidi w:val="0"/>
              <w:spacing w:before="0" w:after="0"/>
              <w:jc w:val="left"/>
              <w:rPr/>
            </w:pPr>
            <w:r>
              <w:rPr/>
              <w:t> </w:t>
            </w:r>
          </w:p>
        </w:tc>
        <w:tc>
          <w:tcPr>
            <w:tcW w:w="95"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5" w:type="dxa"/>
            <w:tcBorders/>
            <w:vAlign w:val="bottom"/>
          </w:tcPr>
          <w:p>
            <w:pPr>
              <w:pStyle w:val="TableContents"/>
              <w:pBdr>
                <w:top w:val="single" w:sz="2" w:space="1" w:color="000000"/>
              </w:pBdr>
              <w:bidi w:val="0"/>
              <w:spacing w:before="0" w:after="0"/>
              <w:jc w:val="left"/>
              <w:rPr/>
            </w:pPr>
            <w:r>
              <w:rPr/>
              <w:t> </w:t>
            </w:r>
          </w:p>
        </w:tc>
        <w:tc>
          <w:tcPr>
            <w:tcW w:w="5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4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were to fully exercise their option to purchase additional shares of our common stock, the percentage of shares of our common stock held by existing stockholders as of September 30, 2025 would be     % and the percentage of shares of our common stock held by new investors would be  %.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and tables above are based on     shares of our common stock outstanding as of September 30, 2025 (and therefore does not reflect the 2025 Tender Offer), after giving effect to the stock split, and excludes     million shares of common stock issuable upon exercise of the Jones Act Warrants (other than     shares of common stock to be issued upon the cashless exercise of Jones Act Warrants by certain selling stockholders in connection with this offering) and Creditor Warrants (after giving effect to the Repurchases), with an exercise price of $0.00001 per share and $    per share, respectively,    shares of our common stock issuable upon exercise of options or settlement of restricted stock units under the 2020 Management Incentive Plan and    shares of our common stock underlying the IPO Grants.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Jones Act Warrants or Creditor Warrants are exercised, outstanding options or restricted stock units settle, or we grant options, restricted stock, restricted stock units or other equity-based awards to our employees, executive officers and directors in the future, or other issuances of common stock are made, there will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66194_8"/>
      <w:bookmarkEnd w:id="10"/>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Management’s Discussion and Analysis of Financial Condition and Results of Operations should be read in conjunction with the information contained in “Summary—Summary Financial and Other Data,” “Business,” “Risk Factors” and the Financial Statements and related notes included elsewhere in this prospectus. Unless the context otherwise requires, all references in this section to “the Company,” “Hornbeck,” “we,” “us,” or “our” refer to the business of Hornbeck Offshore Services, Inc. Additionally, unless noted otherwise, discussions surrounding our vessels are as of December 31, 2025. Such discussions also include two partially constructed Jones Act-qualified MPSV newbuilds to be completed pursuant to our settlement with the Surety, as discussed further in “—Recent Developments—MPSV Newbuild Construction.” Our vessels exclude four OSVs formerly owned by us that we now operate and maintain for the U.S. Navy. </w:t>
      </w:r>
    </w:p>
    <w:p>
      <w:pPr>
        <w:pStyle w:val="TextBody"/>
        <w:bidi w:val="0"/>
        <w:spacing w:before="240" w:after="0"/>
        <w:jc w:val="left"/>
        <w:rPr>
          <w:rFonts w:ascii="Times New Roman" w:hAnsi="Times New Roman"/>
          <w:i/>
          <w:sz w:val="20"/>
        </w:rPr>
      </w:pPr>
      <w:r>
        <w:rPr>
          <w:rFonts w:ascii="Times New Roman" w:hAnsi="Times New Roman"/>
          <w:i/>
          <w:sz w:val="20"/>
        </w:rPr>
        <w:t xml:space="preserve">During the fourth quarter of 2022, the Company reclassified certain vessels from OSVs to MPSVs and MPSVs to OSVs based on the nature of each vessel’s current operations and technical capabilities. For purposes of the following discussion and analysis, we have comparably calculated and classified prior-period amounts to conform with the current vessel classifications. </w:t>
      </w:r>
    </w:p>
    <w:p>
      <w:pPr>
        <w:pStyle w:val="TextBody"/>
        <w:bidi w:val="0"/>
        <w:spacing w:before="240" w:after="0"/>
        <w:jc w:val="left"/>
        <w:rPr>
          <w:rFonts w:ascii="Times New Roman" w:hAnsi="Times New Roman"/>
          <w:i/>
          <w:sz w:val="20"/>
        </w:rPr>
      </w:pPr>
      <w:r>
        <w:rPr>
          <w:rFonts w:ascii="Times New Roman" w:hAnsi="Times New Roman"/>
          <w:i/>
          <w:sz w:val="20"/>
        </w:rPr>
        <w:t xml:space="preserve">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prospectus. See “Special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74 offshore vessels comprised of 15 MPSVs, two of which are under construction, and 59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240" w:after="0"/>
        <w:jc w:val="left"/>
        <w:rPr>
          <w:rFonts w:ascii="Times New Roman" w:hAnsi="Times New Roman"/>
          <w:sz w:val="20"/>
        </w:rPr>
      </w:pPr>
      <w:r>
        <w:rPr>
          <w:rFonts w:ascii="Times New Roman" w:hAnsi="Times New Roman"/>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46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240" w:after="0"/>
        <w:jc w:val="left"/>
        <w:rPr>
          <w:rFonts w:ascii="Times New Roman" w:hAnsi="Times New Roman"/>
          <w:sz w:val="20"/>
        </w:rPr>
      </w:pPr>
      <w:r>
        <w:rPr>
          <w:rFonts w:ascii="Times New Roman" w:hAnsi="Times New Roman"/>
          <w:sz w:val="20"/>
        </w:rPr>
        <w:t xml:space="preserve">Our fleet of 15 MPSVs provides services ranging from offshore construction to recurring IRM services, as well as commissioning and decommissioning for offshore and subsea energy and infrastructure projects. Most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have strategically repositioned our fleet to capture value across these diversified end-markets. As of September 30, 2025, approximately 70%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240" w:after="0"/>
        <w:jc w:val="left"/>
        <w:rPr>
          <w:rFonts w:ascii="Times New Roman" w:hAnsi="Times New Roman"/>
          <w:sz w:val="20"/>
        </w:rPr>
      </w:pPr>
      <w:r>
        <w:rPr>
          <w:rFonts w:ascii="Times New Roman" w:hAnsi="Times New Roman"/>
          <w:sz w:val="2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250-ton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After enduring a multi-year down-turn in the oil and gas industry due principally to an over-supply of oil, in addition to the COVID-19 pandemic, we developed a strategic plan focused on (i) right-sizing its fleet to focus on high-spec and ultra high-spec vessels, (ii) diversifying further into oilfield services to more broadly serve customer requirements that are less reliant on drilling operations and (iii) growing our non-oilfield revenue base. As oil markets have recovered, drilling activity across our operating region has grown. Drilling in the GoA has recently stabilized to an active drilling rig count ranging from 18 to 20 rigs. The Brazilian rig count has increased more dramatically to 33 rigs, whereas Guyana, Suriname and other South American regions have also seen increases. Non-drilling activities have also increased, creating demand for MPSVs, and to a lesser extent OSVs. We have also seen increased activity in non-oilfield markets, with offshore wind development playing a significant part. In 2025, we had as many as eight vessels working outside of the oilfield supporting offshore wind development projects. Moreover, our services to the United States military have also increased. Geopolitical tensions, particularly in Ukraine, the Middle East and the Pacific theater, are driving increased inquiries regarding the unique capabilities of our vessels as platforms that can perform military missions. Our strategy to diversify our revenue base and high grade our fleet has produced favorable results. We achieved our highest operating results in the second quarter of 2025, with 47% of our revenue derived from oilfield drilling operations, 22% from oilfield specialty operations, 16% from military operations and 15% from other non-oilfield operations, including wind, HADR and aerospace operations. </w:t>
      </w:r>
    </w:p>
    <w:p>
      <w:pPr>
        <w:pStyle w:val="TextBody"/>
        <w:bidi w:val="0"/>
        <w:spacing w:before="240" w:after="0"/>
        <w:jc w:val="left"/>
        <w:rPr>
          <w:rFonts w:ascii="Times New Roman" w:hAnsi="Times New Roman"/>
          <w:sz w:val="20"/>
        </w:rPr>
      </w:pPr>
      <w:r>
        <w:rPr>
          <w:rFonts w:ascii="Times New Roman" w:hAnsi="Times New Roman"/>
          <w:sz w:val="20"/>
        </w:rPr>
        <w:t xml:space="preserve">Oil prices remain volatile. During 2022, the domestic oil price peaked at $124 per barrel, representing a near 14-year high, which was driven by geopolitical tensions, low investment by our customers and increased demand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COVID-19 pandemic. In 2025, the domestic oil price has averaged $65.39, as supply has increased and demand softened as a result of global economic weakness, especially in China. Current forecasts call for an over-supplied oil market in 2026, which is likely to result in softer prices. However, forecasts also call for an oil price recovery after 2026 as supply shortages from under-investment and strengthening demand in the developing world increase the demand for hydrocarbons. </w:t>
      </w:r>
    </w:p>
    <w:p>
      <w:pPr>
        <w:pStyle w:val="TextBody"/>
        <w:bidi w:val="0"/>
        <w:spacing w:before="240" w:after="0"/>
        <w:jc w:val="left"/>
        <w:rPr>
          <w:rFonts w:ascii="Times New Roman" w:hAnsi="Times New Roman"/>
          <w:sz w:val="20"/>
        </w:rPr>
      </w:pPr>
      <w:r>
        <w:rPr>
          <w:rFonts w:ascii="Times New Roman" w:hAnsi="Times New Roman"/>
          <w:sz w:val="20"/>
        </w:rPr>
        <w:t xml:space="preserve">Because the majority of our fleet is Jones Act-qualified, our primary market focus is in the United States, as foreign competition is limited and the supply of U.S.-built OSVs and MPSVs is not growing. The supply of OSVs and MPSVs working in the United States can have a significant impact on our utilization and pricing. As U.S.-flagged vessels are drawn into other proximate regional markets, such as Brazil and Northern South America, fewer vessels are available domestically to serve the oilfield and non-oilfield markets. This dynamic has been particularly true during 2025. As of December 31, 2025, 24% of the U.S.-flagged high- and ultra high-spec OSVs were working in foreign markets, limiting the supply domestically at a time when vessel demand for offshore wind development increased, despite relatively flat demand in the GoA for drilling support.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by 2027, drilling will increase modestly in the GoA and will continue to have grown in Brazil and other Latin American markets, increasing the demand from drilling markets for our vessels. We have grown our presence in Brazil since 2021 from one vessel to nine. Two of those vessels are Brazilian-flagged and therefore have the ability to block foreign competitors. We have also increased our presence on the Northern Slope of South America. A potential threat to these positive developments is the possible movement of vessels from other parts of the world into the non-U.S. regional markets that we serve. The North Sea has been particularly soft for the last two years, owing in part to efforts to decarbonize in the U.K. and Norway. However, as the oil price increases, it is expected that drilling will likewise increase globally, dampening the temptation of foreign operators to mobilize vessels into our markets at a high cost. During 2026, we expect that offshore wind development in the United States will continue to develop, notwithstanding the Trump Administration’s efforts to curtail offshore wind development. Several such projects in development will likely be completed over the next several years. These projects are vessel intensive and, because they are located in the United States, require Jones Act-qualified vessels for much of the work. We also expect in 2026 to renew our contract with the United States Navy to provide operations and management services for four vessels that we sold to the United States in 2015. Moreover, we expect other government chartering opportunities to materialize, especially given escalation of geopolitical tensions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In Mexico, we have faced challenges on several fronts, notwithstanding the enormous potential of that country’s deepwater prospects. Our fleet of Mexican-flagged vessels is comprised of 13 OSVs and one MPSV. 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Concomitantly, the Mexican offshore market has deteriorated significantly owing to the departure of several international oil companies (“IOCs”) that faced administrative and other challenges under the prior administration and PEMEX’s financial deterioration, which has left a large portion of its supply- and service- chain unpaid for over a year. We have been able to mobilize 79% of our active Mexican-flagged vessels into adjacent regional markets during this period of market uncertainty in Mexico. Only two of our Mexican-flagged OSVs and one Mexican-flagged MPSV are currently operating in Mexico. The charterer of that MPSV is working directly for PEMEX and has experienced delays in payments from PEMEX, which has affected the timing of its payments to us. While the administration of President Sheinbaum is seeking a solution to the PEMEX financial crisis, it has also taken steps to seek renewed investment from IOCs, including a deepwater project to be developed in Mexico by an IOC. We have recently been awarded a three-vessel charter for this project that is expected to last several years and require more vessels, including MPSVs which will commence in 2026. We are unaware as to whether such legal challenges will be resolved by the time such project commences.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recent and current inflationary environment has affected the cost of our operations, including but not limited to increased labor, repair and maintenance, consumable supply and insurance costs, and we have budgeted for an increase of approximately 3.5% in such costs in 2026 compared to 2025. To date, we have largely mitigated the impact on our operating margins through price escalation clauses in our customer contracts or higher pricing for our vessels operating in the spot market. If we are unable to secure price escalation clauses in our customer contracts or if market prices for our services do not increase at a rate at least commensurate with general inflation, the effects of inflation could have a materially adverse impact on our results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Framework Agreement with Saronic Technologies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5, 2026, we entered into the Framework Agreement with Saronic, a Delaware corporation specializing in the development and deployment of artificial intelligence, autonomous maritime technologies and unmanned surface vessels. The Framework Agreement establishes a collaborative relationship to advance innovation in autonomous vessel services and the scalable commercialization of such services in the offshore energy and defense markets. </w:t>
      </w:r>
    </w:p>
    <w:p>
      <w:pPr>
        <w:pStyle w:val="TextBody"/>
        <w:bidi w:val="0"/>
        <w:spacing w:before="240" w:after="0"/>
        <w:jc w:val="left"/>
        <w:rPr>
          <w:rFonts w:ascii="Times New Roman" w:hAnsi="Times New Roman"/>
          <w:sz w:val="20"/>
        </w:rPr>
      </w:pPr>
      <w:r>
        <w:rPr>
          <w:rFonts w:ascii="Times New Roman" w:hAnsi="Times New Roman"/>
          <w:sz w:val="20"/>
        </w:rPr>
        <w:t xml:space="preserve">We are evaluating how these technologies can be deployed to improve mariner safety, situational awareness, endurance and operational efficiency, and have also formed HOAMS, into which we intend, but are not obligated, to commit resources, personnel and capital for research and development of autonomous maritime solutions.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HOS C/SOV + Flotel MPSV Delivery </w:t>
      </w:r>
    </w:p>
    <w:p>
      <w:pPr>
        <w:pStyle w:val="TextBody"/>
        <w:bidi w:val="0"/>
        <w:spacing w:before="120" w:after="0"/>
        <w:jc w:val="left"/>
        <w:rPr>
          <w:rFonts w:ascii="Times New Roman" w:hAnsi="Times New Roman"/>
          <w:sz w:val="20"/>
        </w:rPr>
      </w:pPr>
      <w:r>
        <w:rPr>
          <w:rFonts w:ascii="Times New Roman" w:hAnsi="Times New Roman"/>
          <w:sz w:val="20"/>
        </w:rPr>
        <w:t xml:space="preserve">In July 2023, we announced that we had contracted Eastern to convert one of our U.S.-flagged, Jones Act-qualified, HOSMAX 280 class DP-2 OSVs acquired from the MARAD into a MPSV for dual-service as either a C/SOV or flotel to meet the growing demand of the U.S. offshore wind or oilfield markets for large personnel accommodations with “walk-to-work” capability. Following delivery from the shipyard in early November 2025, the converted vessel was placed into active service and will commence a charter to support an offshore wind project off the U.S. East Coast. The total cost of the conversion is estimated to be $96.0 million, including owner-furnished equipment, outfitting, engineering and overhead costs, which is significantly below the estimated newbuild cost of approximately $170 million. Our HOS C/SOV+Flotel MPSV is capable of providing services to the U.S. offshore wind market both during the commissioning phase of an offshore wind farm and during its operational life, as well as to offshore facilities engaged in the exploration and production of hydrocarbons.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2025 Tender Offer and MIP Repurchases </w:t>
      </w:r>
    </w:p>
    <w:p>
      <w:pPr>
        <w:pStyle w:val="TextBody"/>
        <w:bidi w:val="0"/>
        <w:spacing w:before="120" w:after="0"/>
        <w:jc w:val="left"/>
        <w:rPr>
          <w:rFonts w:ascii="Times New Roman" w:hAnsi="Times New Roman"/>
          <w:i/>
          <w:sz w:val="20"/>
        </w:rPr>
      </w:pPr>
      <w:r>
        <w:rPr>
          <w:rFonts w:ascii="Times New Roman" w:hAnsi="Times New Roman"/>
          <w:i/>
          <w:sz w:val="20"/>
        </w:rPr>
        <w:t xml:space="preserve">2025 Tender Offer </w:t>
      </w:r>
    </w:p>
    <w:p>
      <w:pPr>
        <w:pStyle w:val="TextBody"/>
        <w:bidi w:val="0"/>
        <w:spacing w:before="120" w:after="0"/>
        <w:jc w:val="left"/>
        <w:rPr>
          <w:rFonts w:ascii="Times New Roman" w:hAnsi="Times New Roman"/>
          <w:sz w:val="20"/>
        </w:rPr>
      </w:pPr>
      <w:r>
        <w:rPr>
          <w:rFonts w:ascii="Times New Roman" w:hAnsi="Times New Roman"/>
          <w:sz w:val="20"/>
        </w:rPr>
        <w:t xml:space="preserve">On November 17, 2025, we commenced the 2025 Tender Offer to purchase up to an aggregate purchase price of $46.1 million of our common stock, Jones Act Warrants and Creditor Warrants at a price of $75.05 per security (less, solely with respect to tendered Creditor Warrants accepted for purchase in the 2025 Tender Offer, the applicable exercise price). Pursuant to the 2025 Tender Offer, 5,130,251 shares of common stock, 10,427,145 Jones Act Warrants and 1,399,564 Creditor Warrants were validly tendered and not withdrawn, and we accepted for purchase 187,536 shares of common stock, 404,226 Jones Act Warrants and 35,793 Creditor Warrants for an aggregate purchase price of approximately $46.1 million. We used cash on hand to fund the 2025 Tender Offer, and to pay fees and expenses related thereto. </w:t>
      </w:r>
    </w:p>
    <w:p>
      <w:pPr>
        <w:pStyle w:val="TextBody"/>
        <w:bidi w:val="0"/>
        <w:spacing w:before="360" w:after="0"/>
        <w:jc w:val="left"/>
        <w:rPr>
          <w:rFonts w:ascii="Times New Roman" w:hAnsi="Times New Roman"/>
          <w:i/>
          <w:sz w:val="20"/>
        </w:rPr>
      </w:pPr>
      <w:r>
        <w:rPr>
          <w:rFonts w:ascii="Times New Roman" w:hAnsi="Times New Roman"/>
          <w:i/>
          <w:sz w:val="20"/>
        </w:rPr>
        <w:t xml:space="preserve">2025 MIP Repurchases </w:t>
      </w:r>
    </w:p>
    <w:p>
      <w:pPr>
        <w:pStyle w:val="TextBody"/>
        <w:bidi w:val="0"/>
        <w:spacing w:before="120" w:after="0"/>
        <w:jc w:val="left"/>
        <w:rPr>
          <w:rFonts w:ascii="Times New Roman" w:hAnsi="Times New Roman"/>
          <w:sz w:val="20"/>
        </w:rPr>
      </w:pPr>
      <w:r>
        <w:rPr>
          <w:rFonts w:ascii="Times New Roman" w:hAnsi="Times New Roman"/>
          <w:sz w:val="20"/>
        </w:rPr>
        <w:t xml:space="preserve">On December 2, 2025, we accelerated the vesting of an aggregate of 20,807 stock options, 33,218 restricted stock units and 5,201 performance stock units and repurchased from employees and non-employee directors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the shares of common stock underlying such accelerated stock options, restricted stock units and performance stock units at a price equal to $75.05 per share (less, solely with respect to such options, the applicable exercise price) for an aggregate purchase price of approximately $4.2 million. The 2025 MIP Repurchases were not made pursuant to the 2025 Tender Offer, and were open to all employees and non-employee directors that held stock options, restricted stock units and performance stock units. We used cash on hand to fund the 2025 MIP Repurchases.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MPSV Newbuild Construction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was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remaining original contract price to Eastern, excluding any approved change orders arising after the settlement date. There is no cap on the Surety’s completion cost. As of September 30, 2025, we have fulfilled our $42.6 million contractual obligation and the Surety has paid $139.0 million. </w:t>
      </w:r>
    </w:p>
    <w:p>
      <w:pPr>
        <w:pStyle w:val="TextBody"/>
        <w:bidi w:val="0"/>
        <w:spacing w:before="240" w:after="0"/>
        <w:jc w:val="left"/>
        <w:rPr>
          <w:rFonts w:ascii="Times New Roman" w:hAnsi="Times New Roman"/>
          <w:sz w:val="20"/>
        </w:rPr>
      </w:pPr>
      <w:r>
        <w:rPr>
          <w:rFonts w:ascii="Times New Roman" w:hAnsi="Times New Roman"/>
          <w:sz w:val="20"/>
        </w:rPr>
        <w:t xml:space="preserve">Following physical delivery by the shipyard, each vessel is expected to undergo crane and other system installations and both vessels are expected to be available for commercial service in 2027. In addition to the fully satisfied $42.6 million contractual obligation, we expect to incur $87.1 million in the aggregate for outfitting, engineering, overhead and the post-delivery discretionary enhancements, of which $59.6 million solely relates to the purchase and installation of the cranes. As of September 30, 2025, we had incurred $21.9 million of such $87.1 million,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Mexico Cabotage Status </w:t>
      </w:r>
    </w:p>
    <w:p>
      <w:pPr>
        <w:pStyle w:val="TextBody"/>
        <w:bidi w:val="0"/>
        <w:spacing w:before="120" w:after="0"/>
        <w:jc w:val="left"/>
        <w:rPr>
          <w:rFonts w:ascii="Times New Roman" w:hAnsi="Times New Roman"/>
          <w:sz w:val="20"/>
        </w:rPr>
      </w:pPr>
      <w:r>
        <w:rPr>
          <w:rFonts w:ascii="Times New Roman" w:hAnsi="Times New Roman"/>
          <w:sz w:val="20"/>
        </w:rPr>
        <w:t xml:space="preserve">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In the first quarter of 2026, we expect three of our Mexican-flagged vessels to return to Mexico to perform services under a long-term charter with an integrated oil company. </w:t>
      </w:r>
    </w:p>
    <w:p>
      <w:pPr>
        <w:pStyle w:val="TextBody"/>
        <w:bidi w:val="0"/>
        <w:spacing w:before="360" w:after="0"/>
        <w:jc w:val="left"/>
        <w:rPr>
          <w:rFonts w:ascii="Times New Roman" w:hAnsi="Times New Roman"/>
          <w:b/>
          <w:sz w:val="20"/>
        </w:rPr>
      </w:pPr>
      <w:r>
        <w:rPr>
          <w:rFonts w:ascii="Times New Roman" w:hAnsi="Times New Roman"/>
          <w:b/>
          <w:sz w:val="20"/>
        </w:rPr>
        <w:t xml:space="preserve">Performance and other Key Indicators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Vessel Count, Utilization and Dayrates </w:t>
      </w:r>
    </w:p>
    <w:p>
      <w:pPr>
        <w:pStyle w:val="TextBody"/>
        <w:bidi w:val="0"/>
        <w:spacing w:before="120" w:after="0"/>
        <w:jc w:val="left"/>
        <w:rPr>
          <w:rFonts w:ascii="Times New Roman" w:hAnsi="Times New Roman"/>
          <w:sz w:val="20"/>
        </w:rPr>
      </w:pPr>
      <w:r>
        <w:rPr>
          <w:rFonts w:ascii="Times New Roman" w:hAnsi="Times New Roman"/>
          <w:sz w:val="20"/>
        </w:rPr>
        <w:t xml:space="preserve">Our revenues, net income and cash flows from operating activities are largely dependent upon the activity level of our marine service vessels. In analyzing our activity level, we focus primarily on vessel count (including whether vessels are active or stacked), average and effective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the average dayrates, utilization rates and effective dayrates for our owned OSVs and MPSVs and the average number and size of such vessels owned during the periods indicated. These vessels generate the majority of our revenues. Excluded from the OSV and MPSV information below is the results of operations for our shore-based port facility and vessel management services, including the four vessels formerly owned by us that we now operate and maintain for the U.S. Navy.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56"/>
        <w:gridCol w:w="248"/>
        <w:gridCol w:w="140"/>
        <w:gridCol w:w="806"/>
        <w:gridCol w:w="276"/>
        <w:gridCol w:w="196"/>
        <w:gridCol w:w="140"/>
        <w:gridCol w:w="806"/>
        <w:gridCol w:w="276"/>
        <w:gridCol w:w="196"/>
        <w:gridCol w:w="140"/>
        <w:gridCol w:w="806"/>
        <w:gridCol w:w="276"/>
        <w:gridCol w:w="196"/>
        <w:gridCol w:w="140"/>
        <w:gridCol w:w="806"/>
        <w:gridCol w:w="276"/>
        <w:gridCol w:w="196"/>
        <w:gridCol w:w="140"/>
        <w:gridCol w:w="806"/>
        <w:gridCol w:w="283"/>
      </w:tblGrid>
      <w:tr>
        <w:trPr/>
        <w:tc>
          <w:tcPr>
            <w:tcW w:w="3056"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05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364"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37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3" w:type="dxa"/>
            <w:tcBorders/>
            <w:vAlign w:val="bottom"/>
          </w:tcPr>
          <w:p>
            <w:pPr>
              <w:pStyle w:val="TableContents"/>
              <w:bidi w:val="0"/>
              <w:spacing w:before="0" w:after="283"/>
              <w:jc w:val="left"/>
              <w:rPr/>
            </w:pPr>
            <w:r>
              <w:rPr/>
              <w:t> </w:t>
            </w:r>
          </w:p>
        </w:tc>
      </w:tr>
      <w:tr>
        <w:trPr/>
        <w:tc>
          <w:tcPr>
            <w:tcW w:w="3056"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Offshore Supply Vessels:</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6"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OSVs(1)</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58.6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59.0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53.8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57.0</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active OSVs(2)</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37.7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37.6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38.0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32.2</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26.7</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fleet capacity (DWT)(3)</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264,485</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259,870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261,528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235,514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229,001</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OSV capacity (DWT)(4)</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4,449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4,435</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4,437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4,374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4,020</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utilization rate(5)</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47.9</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42.8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41.3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44.3</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37.7</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Active OSV utilization rate(6)</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75.6</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66.7</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64.1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74.0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80.7</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OSV dayrate(7)</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44,366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41,014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41,956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39,297</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32,305</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Effective OSV dayrate(8)</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21,251</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17,554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17,328</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17,409</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12,179</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b/>
                <w:sz w:val="20"/>
              </w:rPr>
            </w:pPr>
            <w:r>
              <w:rPr>
                <w:rFonts w:ascii="Times New Roman" w:hAnsi="Times New Roman"/>
                <w:b/>
                <w:sz w:val="20"/>
              </w:rPr>
              <w:t>Multi-Purpose Support Vessels:</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6"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MPSVs(1)</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12.0</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active MPSVs(2)</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12.0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11.2</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10.4</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MPSV utilization rate(5)</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60.3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75.0</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73.4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68.4</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6" w:type="dxa"/>
            <w:tcBorders/>
            <w:shd w:fill="CCEEFF" w:val="clear"/>
            <w:vAlign w:val="bottom"/>
          </w:tcPr>
          <w:p>
            <w:pPr>
              <w:pStyle w:val="TableContents"/>
              <w:bidi w:val="0"/>
              <w:spacing w:before="0" w:after="283"/>
              <w:jc w:val="right"/>
              <w:rPr/>
            </w:pPr>
            <w:r>
              <w:rPr/>
              <w:t>65.2</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Active MPSV utilization rate(6)</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65.1</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75.0</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73.6</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6" w:type="dxa"/>
            <w:tcBorders/>
            <w:vAlign w:val="bottom"/>
          </w:tcPr>
          <w:p>
            <w:pPr>
              <w:pStyle w:val="TableContents"/>
              <w:bidi w:val="0"/>
              <w:spacing w:before="0" w:after="283"/>
              <w:jc w:val="right"/>
              <w:rPr/>
            </w:pPr>
            <w:r>
              <w:rPr/>
              <w:t>75.0</w:t>
            </w:r>
          </w:p>
        </w:tc>
        <w:tc>
          <w:tcPr>
            <w:tcW w:w="283" w:type="dxa"/>
            <w:tcBorders/>
            <w:vAlign w:val="bottom"/>
          </w:tcPr>
          <w:p>
            <w:pPr>
              <w:pStyle w:val="TableContents"/>
              <w:bidi w:val="0"/>
              <w:spacing w:before="0" w:after="283"/>
              <w:jc w:val="left"/>
              <w:rPr/>
            </w:pPr>
            <w:r>
              <w:rPr/>
              <w:t>% </w:t>
            </w:r>
          </w:p>
        </w:tc>
      </w:tr>
      <w:tr>
        <w:trPr/>
        <w:tc>
          <w:tcPr>
            <w:tcW w:w="30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MPSV dayrate(7)</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82,518</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65,943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67,853</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62,372</w:t>
            </w:r>
          </w:p>
        </w:tc>
        <w:tc>
          <w:tcPr>
            <w:tcW w:w="27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6" w:type="dxa"/>
            <w:tcBorders/>
            <w:shd w:fill="CCEEFF" w:val="clear"/>
            <w:vAlign w:val="bottom"/>
          </w:tcPr>
          <w:p>
            <w:pPr>
              <w:pStyle w:val="TableContents"/>
              <w:bidi w:val="0"/>
              <w:spacing w:before="0" w:after="283"/>
              <w:jc w:val="right"/>
              <w:rPr/>
            </w:pPr>
            <w:r>
              <w:rPr/>
              <w:t>53,421</w:t>
            </w:r>
          </w:p>
        </w:tc>
        <w:tc>
          <w:tcPr>
            <w:tcW w:w="283" w:type="dxa"/>
            <w:tcBorders/>
            <w:shd w:fill="CCEEFF" w:val="clear"/>
            <w:vAlign w:val="bottom"/>
          </w:tcPr>
          <w:p>
            <w:pPr>
              <w:pStyle w:val="TableContents"/>
              <w:bidi w:val="0"/>
              <w:spacing w:before="0" w:after="283"/>
              <w:jc w:val="left"/>
              <w:rPr/>
            </w:pPr>
            <w:r>
              <w:rPr/>
              <w:t> </w:t>
            </w:r>
          </w:p>
        </w:tc>
      </w:tr>
      <w:tr>
        <w:trPr/>
        <w:tc>
          <w:tcPr>
            <w:tcW w:w="3056" w:type="dxa"/>
            <w:tcBorders/>
          </w:tcPr>
          <w:p>
            <w:pPr>
              <w:pStyle w:val="TableContents"/>
              <w:bidi w:val="0"/>
              <w:spacing w:before="0" w:after="0"/>
              <w:jc w:val="left"/>
              <w:rPr>
                <w:rFonts w:ascii="Times New Roman" w:hAnsi="Times New Roman"/>
                <w:sz w:val="20"/>
              </w:rPr>
            </w:pPr>
            <w:r>
              <w:rPr>
                <w:rFonts w:ascii="Times New Roman" w:hAnsi="Times New Roman"/>
                <w:sz w:val="20"/>
              </w:rPr>
              <w:t>Effective MPSV dayrate(8)</w:t>
            </w:r>
          </w:p>
        </w:tc>
        <w:tc>
          <w:tcPr>
            <w:tcW w:w="2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49,758</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49,457</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49,804</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42,662</w:t>
            </w:r>
          </w:p>
        </w:tc>
        <w:tc>
          <w:tcPr>
            <w:tcW w:w="27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6" w:type="dxa"/>
            <w:tcBorders/>
            <w:vAlign w:val="bottom"/>
          </w:tcPr>
          <w:p>
            <w:pPr>
              <w:pStyle w:val="TableContents"/>
              <w:bidi w:val="0"/>
              <w:spacing w:before="0" w:after="283"/>
              <w:jc w:val="right"/>
              <w:rPr/>
            </w:pPr>
            <w:r>
              <w:rPr/>
              <w:t>34,830</w:t>
            </w:r>
          </w:p>
        </w:tc>
        <w:tc>
          <w:tcPr>
            <w:tcW w:w="28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number of vessels owned during the period, adjusted to reflect date of acquisition or disposition of vessels. We owned 59, 60, 60, 55, and 54 OSVs and 12 MPSVs as of September 30, 2025 and 2024 and December 31, 2024, 2023 and 2022, respectively. Excluded from the data are four non-owned vessels that we now manage for the U.S. Navy, one OSV acquired from the U.S. Department of Transportation’s Maritime Administration that was at September 30, 2025 undergoing conversion into a MPSV for dual-service as either a C/SOV or flotel, which was completed in early November 2025,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2022, eight such vessels, (ii) as of December 31, 2023, five such vessels, (iii) as of December 31, 2024, no such vessels, (iv) as of September 30, 2024, no such vessels and (v) as of September 30, 2025, no such vessels. We also sold zero, two and ten OSVs during 2024, 2023 and 2022, respectively.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weighted-average number of OSVs owned during the period multiplied by the weighted-average DWT cargo-carrying capacity of OSVs during the same period.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actual capacity of OSVs owned during the period on a weighted-average basis, adjusted to reflect the date of acquisition or disposition of vessels.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utilization rates are weighted-average rates based on a 365-day year. Vessels are considered utilized when they are generating revenues.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(6)</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 utilization rate is based on a denominator comprised only of vessel-days available for service by the active fleet, which excludes the impact of inactive or stacked vessel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Average OSV and MPSV dayrates represent weighted-average revenues per day, which includes charter hire, crewing services and net brokerage revenues, based on the number of days during the period that the OSVs and MPSVs, respectively, generated revenues.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(8)</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dayrate represents the average dayrate multiplied by the average utilization rate.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 </w:t>
      </w:r>
    </w:p>
    <w:p>
      <w:pPr>
        <w:pStyle w:val="TextBody"/>
        <w:bidi w:val="0"/>
        <w:spacing w:before="120" w:after="0"/>
        <w:jc w:val="left"/>
        <w:rPr>
          <w:rFonts w:ascii="Times New Roman" w:hAnsi="Times New Roman"/>
          <w:sz w:val="20"/>
        </w:rPr>
      </w:pPr>
      <w:r>
        <w:rPr>
          <w:rFonts w:ascii="Times New Roman" w:hAnsi="Times New Roman"/>
          <w:sz w:val="20"/>
        </w:rPr>
        <w:t xml:space="preserve">Our operating costs are primarily a function of total fleet size, the number of active vessels and areas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These costs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wages paid to vessel crews;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maintenance and repairs to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contract-specific cost of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marine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materials and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routine inspections to ensure compliance with applicable regulations and to maintain certifications for our vessels with the USCG and various classification societies.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19 U.S.-flagged OSVs, three foreign-flagged OSVs and one U.S.-flagged MPSV stacked. By removing these vessels from our active operating fleet, we significantly reduced our operating costs, including crew costs. As of September 30, 2025, our fixed operating costs were spread over 48 owned and operated vessels in active service and four vessels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sz w:val="20"/>
        </w:rPr>
        <w:t xml:space="preserve">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 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sets forth a breakdown of our operating expenses by type and the corresponding percent of total operating expenses (in thousands, except percent of total and amounts per day): </w:t>
      </w:r>
    </w:p>
    <w:p>
      <w:pPr>
        <w:pStyle w:val="TextBody"/>
        <w:bidi w:val="0"/>
        <w:spacing w:before="0" w:after="0"/>
        <w:jc w:val="left"/>
        <w:rPr/>
      </w:pPr>
      <w:r>
        <w:rPr/>
        <w:t> </w:t>
      </w:r>
    </w:p>
    <w:tbl>
      <w:tblPr>
        <w:tblW w:w="13340" w:type="dxa"/>
        <w:jc w:val="center"/>
        <w:tblInd w:w="0" w:type="dxa"/>
        <w:tblLayout w:type="fixed"/>
        <w:tblCellMar>
          <w:top w:w="0" w:type="dxa"/>
          <w:left w:w="0" w:type="dxa"/>
          <w:bottom w:w="0" w:type="dxa"/>
          <w:right w:w="0" w:type="dxa"/>
        </w:tblCellMar>
      </w:tblPr>
      <w:tblGrid>
        <w:gridCol w:w="1130"/>
        <w:gridCol w:w="60"/>
        <w:gridCol w:w="140"/>
        <w:gridCol w:w="680"/>
        <w:gridCol w:w="60"/>
        <w:gridCol w:w="120"/>
        <w:gridCol w:w="60"/>
        <w:gridCol w:w="560"/>
        <w:gridCol w:w="275"/>
        <w:gridCol w:w="60"/>
        <w:gridCol w:w="140"/>
        <w:gridCol w:w="680"/>
        <w:gridCol w:w="60"/>
        <w:gridCol w:w="120"/>
        <w:gridCol w:w="60"/>
        <w:gridCol w:w="560"/>
        <w:gridCol w:w="275"/>
        <w:gridCol w:w="60"/>
        <w:gridCol w:w="140"/>
        <w:gridCol w:w="800"/>
        <w:gridCol w:w="60"/>
        <w:gridCol w:w="120"/>
        <w:gridCol w:w="60"/>
        <w:gridCol w:w="560"/>
        <w:gridCol w:w="275"/>
        <w:gridCol w:w="60"/>
        <w:gridCol w:w="140"/>
        <w:gridCol w:w="800"/>
        <w:gridCol w:w="60"/>
        <w:gridCol w:w="120"/>
        <w:gridCol w:w="60"/>
        <w:gridCol w:w="560"/>
        <w:gridCol w:w="275"/>
        <w:gridCol w:w="60"/>
        <w:gridCol w:w="140"/>
        <w:gridCol w:w="800"/>
        <w:gridCol w:w="60"/>
        <w:gridCol w:w="120"/>
        <w:gridCol w:w="60"/>
        <w:gridCol w:w="560"/>
        <w:gridCol w:w="275"/>
        <w:gridCol w:w="60"/>
        <w:gridCol w:w="140"/>
        <w:gridCol w:w="800"/>
        <w:gridCol w:w="60"/>
        <w:gridCol w:w="120"/>
        <w:gridCol w:w="60"/>
        <w:gridCol w:w="560"/>
        <w:gridCol w:w="275"/>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27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Operating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rFonts w:ascii="Times New Roman" w:hAnsi="Times New Roman"/>
                <w:sz w:val="16"/>
              </w:rPr>
            </w:pPr>
            <w:r>
              <w:rPr>
                <w:rFonts w:ascii="Times New Roman" w:hAnsi="Times New Roman"/>
                <w:sz w:val="16"/>
              </w:rPr>
              <w:t>Contract-related cost of sales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7,320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4,998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24,617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15,746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21,335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20,804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 xml:space="preserve">Personnel </w:t>
              <w:br/>
              <w:t>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54,979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56,283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163,853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164,142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216,225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194,091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63.5</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6"/>
              </w:rPr>
            </w:pPr>
            <w:r>
              <w:rPr>
                <w:rFonts w:ascii="Times New Roman" w:hAnsi="Times New Roman"/>
                <w:sz w:val="16"/>
              </w:rPr>
              <w:t>Maintenance and repair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15,865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17.0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17,234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18.6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47,205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16.8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53,635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19.6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71,877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19.7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46,095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15.1</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Insurance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3,632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8,005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9,917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12,521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9,925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6"/>
              </w:rPr>
            </w:pPr>
            <w:r>
              <w:rPr>
                <w:rFonts w:ascii="Times New Roman" w:hAnsi="Times New Roman"/>
                <w:sz w:val="16"/>
              </w:rPr>
              <w:t>Materials and supplies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5,645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4,471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16,371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14,947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19,530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16,329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5.3</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Other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6,820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5,881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20,618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15,930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23,096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18,219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6.1</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b/>
                <w:sz w:val="16"/>
              </w:rPr>
            </w:pPr>
            <w:r>
              <w:rPr>
                <w:rFonts w:ascii="Times New Roman" w:hAnsi="Times New Roman"/>
                <w:b/>
                <w:sz w:val="16"/>
              </w:rPr>
              <w:t>Total operating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93,437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92,499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280,669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274,317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364,584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305,463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Active OSV opex</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63,606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68.1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58,613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189,659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67.6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165,022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226,813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178,784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58.5</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Active MPSV </w:t>
              <w:br/>
              <w:t>opex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20,686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24,877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63,412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76,910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28.0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96,690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84,260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27.6</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Stacked Vessel opex</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997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7,649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8,202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12,414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4.1</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6"/>
              </w:rPr>
            </w:pPr>
            <w:r>
              <w:rPr>
                <w:rFonts w:ascii="Times New Roman" w:hAnsi="Times New Roman"/>
                <w:sz w:val="16"/>
              </w:rPr>
              <w:t>Non-vessel opex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8,148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8,225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24,736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32,879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30,005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9.8</w:t>
            </w:r>
          </w:p>
        </w:tc>
        <w:tc>
          <w:tcPr>
            <w:tcW w:w="27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Total operating expense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93,437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92,499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280,669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274,317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364,584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305,463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16"/>
              </w:rPr>
            </w:pPr>
            <w:r>
              <w:rPr>
                <w:rFonts w:ascii="Times New Roman" w:hAnsi="Times New Roman"/>
                <w:sz w:val="16"/>
              </w:rPr>
              <w:t>Active OSV opex per day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18,686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16,336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18,428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16,018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16,308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15,212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1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Active MPSV opex per day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20,441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22,534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20,926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23,391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22,015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20,612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1130" w:type="dxa"/>
            <w:tcBorders/>
          </w:tcPr>
          <w:p>
            <w:pPr>
              <w:pStyle w:val="TableContents"/>
              <w:bidi w:val="0"/>
              <w:spacing w:before="0" w:after="0"/>
              <w:jc w:val="left"/>
              <w:rPr>
                <w:rFonts w:ascii="Times New Roman" w:hAnsi="Times New Roman"/>
                <w:sz w:val="16"/>
              </w:rPr>
            </w:pPr>
            <w:r>
              <w:rPr>
                <w:rFonts w:ascii="Times New Roman" w:hAnsi="Times New Roman"/>
                <w:sz w:val="16"/>
              </w:rPr>
              <w:t>Stacked vessel opex per day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406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519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1,329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1,067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1,518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13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Total vessel opex per day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13,057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12,723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13,098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12,902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12,765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11,469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&amp; Administrative (G&amp;A) Expense </w:t>
      </w:r>
    </w:p>
    <w:p>
      <w:pPr>
        <w:pStyle w:val="TextBody"/>
        <w:bidi w:val="0"/>
        <w:spacing w:before="120" w:after="0"/>
        <w:jc w:val="left"/>
        <w:rPr>
          <w:rFonts w:ascii="Times New Roman" w:hAnsi="Times New Roman"/>
          <w:sz w:val="20"/>
        </w:rPr>
      </w:pPr>
      <w:r>
        <w:rPr>
          <w:rFonts w:ascii="Times New Roman" w:hAnsi="Times New Roman"/>
          <w:sz w:val="20"/>
        </w:rPr>
        <w:t xml:space="preserve">Our G&amp;A expenses are primarily a function of the number of shoreside personnel and include, but are not limited to, base salaries, benefits and incentive compensation for shoreside employees, legal and other third-party advisor expenses, rent and other items.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our general and administrative expenses in total, as a percentage of total revenue and per vessel day (in thousands, except percent of revenue and amounts per day): </w:t>
      </w:r>
    </w:p>
    <w:p>
      <w:pPr>
        <w:pStyle w:val="TextBody"/>
        <w:bidi w:val="0"/>
        <w:spacing w:before="0" w:after="0"/>
        <w:jc w:val="left"/>
        <w:rPr/>
      </w:pPr>
      <w:r>
        <w:rPr/>
        <w:t> </w:t>
      </w:r>
    </w:p>
    <w:tbl>
      <w:tblPr>
        <w:tblW w:w="12125" w:type="dxa"/>
        <w:jc w:val="center"/>
        <w:tblInd w:w="0" w:type="dxa"/>
        <w:tblLayout w:type="fixed"/>
        <w:tblCellMar>
          <w:top w:w="0" w:type="dxa"/>
          <w:left w:w="0" w:type="dxa"/>
          <w:bottom w:w="0" w:type="dxa"/>
          <w:right w:w="0" w:type="dxa"/>
        </w:tblCellMar>
      </w:tblPr>
      <w:tblGrid>
        <w:gridCol w:w="1265"/>
        <w:gridCol w:w="60"/>
        <w:gridCol w:w="259"/>
        <w:gridCol w:w="1261"/>
        <w:gridCol w:w="510"/>
        <w:gridCol w:w="111"/>
        <w:gridCol w:w="259"/>
        <w:gridCol w:w="1265"/>
        <w:gridCol w:w="275"/>
        <w:gridCol w:w="60"/>
        <w:gridCol w:w="250"/>
        <w:gridCol w:w="1215"/>
        <w:gridCol w:w="491"/>
        <w:gridCol w:w="107"/>
        <w:gridCol w:w="250"/>
        <w:gridCol w:w="1217"/>
        <w:gridCol w:w="275"/>
        <w:gridCol w:w="60"/>
        <w:gridCol w:w="188"/>
        <w:gridCol w:w="915"/>
        <w:gridCol w:w="370"/>
        <w:gridCol w:w="80"/>
        <w:gridCol w:w="188"/>
        <w:gridCol w:w="919"/>
        <w:gridCol w:w="275"/>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5" w:type="dxa"/>
            <w:tcBorders/>
            <w:vAlign w:val="bottom"/>
          </w:tcPr>
          <w:p>
            <w:pPr>
              <w:pStyle w:val="TableContents"/>
              <w:bidi w:val="0"/>
              <w:spacing w:before="0" w:after="283"/>
              <w:jc w:val="left"/>
              <w:rPr/>
            </w:pPr>
            <w:r>
              <w:rPr/>
              <w:t> </w:t>
            </w:r>
          </w:p>
        </w:tc>
      </w:tr>
      <w:tr>
        <w:trPr/>
        <w:tc>
          <w:tcPr>
            <w:tcW w:w="12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51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5"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49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46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7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5"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General and administrative expense</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22,259</w:t>
            </w:r>
          </w:p>
        </w:tc>
        <w:tc>
          <w:tcPr>
            <w:tcW w:w="51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1265" w:type="dxa"/>
            <w:tcBorders/>
            <w:shd w:fill="CCEEFF" w:val="clear"/>
            <w:vAlign w:val="bottom"/>
          </w:tcPr>
          <w:p>
            <w:pPr>
              <w:pStyle w:val="TableContents"/>
              <w:bidi w:val="0"/>
              <w:spacing w:before="0" w:after="283"/>
              <w:jc w:val="right"/>
              <w:rPr/>
            </w:pPr>
            <w:r>
              <w:rPr/>
              <w:t>19,230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57,274</w:t>
            </w:r>
          </w:p>
        </w:tc>
        <w:tc>
          <w:tcPr>
            <w:tcW w:w="49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217" w:type="dxa"/>
            <w:tcBorders/>
            <w:shd w:fill="CCEEFF" w:val="clear"/>
            <w:vAlign w:val="bottom"/>
          </w:tcPr>
          <w:p>
            <w:pPr>
              <w:pStyle w:val="TableContents"/>
              <w:bidi w:val="0"/>
              <w:spacing w:before="0" w:after="283"/>
              <w:jc w:val="right"/>
              <w:rPr/>
            </w:pPr>
            <w:r>
              <w:rPr/>
              <w:t>51,660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71,110</w:t>
            </w:r>
          </w:p>
        </w:tc>
        <w:tc>
          <w:tcPr>
            <w:tcW w:w="37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19" w:type="dxa"/>
            <w:tcBorders/>
            <w:shd w:fill="CCEEFF" w:val="clear"/>
            <w:vAlign w:val="bottom"/>
          </w:tcPr>
          <w:p>
            <w:pPr>
              <w:pStyle w:val="TableContents"/>
              <w:bidi w:val="0"/>
              <w:spacing w:before="0" w:after="283"/>
              <w:jc w:val="right"/>
              <w:rPr/>
            </w:pPr>
            <w:r>
              <w:rPr/>
              <w:t>66,108</w:t>
            </w:r>
          </w:p>
        </w:tc>
        <w:tc>
          <w:tcPr>
            <w:tcW w:w="275"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G&amp;A as a % of total revenues</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11.2</w:t>
            </w:r>
          </w:p>
        </w:tc>
        <w:tc>
          <w:tcPr>
            <w:tcW w:w="51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11.1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10.5</w:t>
            </w:r>
          </w:p>
        </w:tc>
        <w:tc>
          <w:tcPr>
            <w:tcW w:w="49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11.1</w:t>
            </w:r>
          </w:p>
        </w:tc>
        <w:tc>
          <w:tcPr>
            <w:tcW w:w="37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11.5</w:t>
            </w:r>
          </w:p>
        </w:tc>
        <w:tc>
          <w:tcPr>
            <w:tcW w:w="275" w:type="dxa"/>
            <w:tcBorders/>
            <w:vAlign w:val="bottom"/>
          </w:tcPr>
          <w:p>
            <w:pPr>
              <w:pStyle w:val="TableContents"/>
              <w:bidi w:val="0"/>
              <w:spacing w:before="0" w:after="283"/>
              <w:jc w:val="left"/>
              <w:rPr/>
            </w:pPr>
            <w:r>
              <w:rPr/>
              <w:t>% </w:t>
            </w:r>
          </w:p>
        </w:tc>
      </w:tr>
      <w:tr>
        <w:trPr/>
        <w:tc>
          <w:tcPr>
            <w:tcW w:w="12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G&amp;A per active vessel day</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5,041</w:t>
            </w:r>
          </w:p>
        </w:tc>
        <w:tc>
          <w:tcPr>
            <w:tcW w:w="510"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4,098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4,299</w:t>
            </w:r>
          </w:p>
        </w:tc>
        <w:tc>
          <w:tcPr>
            <w:tcW w:w="49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3,801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283"/>
              <w:jc w:val="right"/>
              <w:rPr/>
            </w:pPr>
            <w:r>
              <w:rPr/>
              <w:t>3,886</w:t>
            </w:r>
          </w:p>
        </w:tc>
        <w:tc>
          <w:tcPr>
            <w:tcW w:w="37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4,173</w:t>
            </w:r>
          </w:p>
        </w:tc>
        <w:tc>
          <w:tcPr>
            <w:tcW w:w="275" w:type="dxa"/>
            <w:tcBorders/>
            <w:shd w:fill="CCEEFF" w:val="clear"/>
            <w:vAlign w:val="bottom"/>
          </w:tcPr>
          <w:p>
            <w:pPr>
              <w:pStyle w:val="TableContents"/>
              <w:bidi w:val="0"/>
              <w:spacing w:before="0" w:after="283"/>
              <w:jc w:val="left"/>
              <w:rPr/>
            </w:pPr>
            <w:r>
              <w:rPr/>
              <w:t> </w:t>
            </w:r>
          </w:p>
        </w:tc>
      </w:tr>
      <w:tr>
        <w:trPr/>
        <w:tc>
          <w:tcPr>
            <w:tcW w:w="1265" w:type="dxa"/>
            <w:tcBorders/>
          </w:tcPr>
          <w:p>
            <w:pPr>
              <w:pStyle w:val="TableContents"/>
              <w:bidi w:val="0"/>
              <w:spacing w:before="0" w:after="0"/>
              <w:jc w:val="left"/>
              <w:rPr>
                <w:rFonts w:ascii="Times New Roman" w:hAnsi="Times New Roman"/>
                <w:sz w:val="20"/>
              </w:rPr>
            </w:pPr>
            <w:r>
              <w:rPr>
                <w:rFonts w:ascii="Times New Roman" w:hAnsi="Times New Roman"/>
                <w:sz w:val="20"/>
              </w:rPr>
              <w:t>G&amp;A per total vessel day</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3,408</w:t>
            </w:r>
          </w:p>
        </w:tc>
        <w:tc>
          <w:tcPr>
            <w:tcW w:w="51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2,903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2,934</w:t>
            </w:r>
          </w:p>
        </w:tc>
        <w:tc>
          <w:tcPr>
            <w:tcW w:w="49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2,671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2,736</w:t>
            </w:r>
          </w:p>
        </w:tc>
        <w:tc>
          <w:tcPr>
            <w:tcW w:w="37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2,753</w:t>
            </w:r>
          </w:p>
        </w:tc>
        <w:tc>
          <w:tcPr>
            <w:tcW w:w="2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are primarily driven by the number of required recertification drydockings undertaken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“—Liquidity and Capital Resources—Capital Expenditures and Related Commitments.”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 breakdown of our capital expenditures by type and the corresponding vessel downtime related to deferred drydockings vessel counts and days (dollars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36"/>
        <w:gridCol w:w="175"/>
        <w:gridCol w:w="170"/>
        <w:gridCol w:w="832"/>
        <w:gridCol w:w="72"/>
        <w:gridCol w:w="194"/>
        <w:gridCol w:w="170"/>
        <w:gridCol w:w="834"/>
        <w:gridCol w:w="59"/>
        <w:gridCol w:w="175"/>
        <w:gridCol w:w="140"/>
        <w:gridCol w:w="813"/>
        <w:gridCol w:w="60"/>
        <w:gridCol w:w="175"/>
        <w:gridCol w:w="140"/>
        <w:gridCol w:w="813"/>
        <w:gridCol w:w="60"/>
        <w:gridCol w:w="175"/>
        <w:gridCol w:w="140"/>
        <w:gridCol w:w="813"/>
        <w:gridCol w:w="59"/>
        <w:gridCol w:w="175"/>
        <w:gridCol w:w="140"/>
        <w:gridCol w:w="813"/>
        <w:gridCol w:w="72"/>
      </w:tblGrid>
      <w:tr>
        <w:trPr/>
        <w:tc>
          <w:tcPr>
            <w:tcW w:w="293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r>
      <w:tr>
        <w:trPr/>
        <w:tc>
          <w:tcPr>
            <w:tcW w:w="293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2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41"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 Ended</w:t>
            </w:r>
            <w:r>
              <w:rPr/>
              <w:br/>
            </w:r>
            <w:r>
              <w:rPr>
                <w:b/>
              </w:rPr>
              <w:t>September 30,</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72" w:type="dxa"/>
            <w:tcBorders/>
            <w:vAlign w:val="bottom"/>
          </w:tcPr>
          <w:p>
            <w:pPr>
              <w:pStyle w:val="TableContents"/>
              <w:bidi w:val="0"/>
              <w:spacing w:before="0" w:after="283"/>
              <w:jc w:val="left"/>
              <w:rPr/>
            </w:pPr>
            <w:r>
              <w:rPr/>
              <w:t> </w:t>
            </w:r>
          </w:p>
        </w:tc>
      </w:tr>
      <w:tr>
        <w:trPr/>
        <w:tc>
          <w:tcPr>
            <w:tcW w:w="293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expenditures(1)</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0"/>
              <w:jc w:val="left"/>
              <w:rPr>
                <w:rFonts w:ascii="Times New Roman" w:hAnsi="Times New Roman"/>
                <w:sz w:val="20"/>
              </w:rPr>
            </w:pPr>
            <w:r>
              <w:rPr>
                <w:rFonts w:ascii="Times New Roman" w:hAnsi="Times New Roman"/>
                <w:sz w:val="20"/>
              </w:rPr>
              <w:t>Growth capital expenditures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5,883</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10,440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34,771</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36,753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55,536</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128,547</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 capital expenditures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20,000</w:t>
            </w:r>
          </w:p>
        </w:tc>
        <w:tc>
          <w:tcPr>
            <w:tcW w:w="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17,801</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63,223</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53,876</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75,662</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37,573</w:t>
            </w:r>
          </w:p>
        </w:tc>
        <w:tc>
          <w:tcPr>
            <w:tcW w:w="72" w:type="dxa"/>
            <w:tcBorders/>
            <w:shd w:fill="CCEEFF" w:val="clear"/>
            <w:vAlign w:val="bottom"/>
          </w:tcPr>
          <w:p>
            <w:pPr>
              <w:pStyle w:val="TableContents"/>
              <w:bidi w:val="0"/>
              <w:spacing w:before="0" w:after="283"/>
              <w:jc w:val="left"/>
              <w:rPr/>
            </w:pPr>
            <w:r>
              <w:rPr/>
              <w:t> </w:t>
            </w:r>
          </w:p>
        </w:tc>
      </w:tr>
      <w:tr>
        <w:trPr/>
        <w:tc>
          <w:tcPr>
            <w:tcW w:w="2936" w:type="dxa"/>
            <w:tcBorders/>
          </w:tcPr>
          <w:p>
            <w:pPr>
              <w:pStyle w:val="TableContents"/>
              <w:bidi w:val="0"/>
              <w:spacing w:before="0" w:after="0"/>
              <w:jc w:val="left"/>
              <w:rPr>
                <w:rFonts w:ascii="Times New Roman" w:hAnsi="Times New Roman"/>
                <w:sz w:val="20"/>
              </w:rPr>
            </w:pPr>
            <w:r>
              <w:rPr>
                <w:rFonts w:ascii="Times New Roman" w:hAnsi="Times New Roman"/>
                <w:sz w:val="20"/>
              </w:rPr>
              <w:t>Commercial capital expenditures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19,474</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19,214</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33,789</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32,137</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47,619</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33,864</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Non-vessel capital expenditures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7,178</w:t>
            </w:r>
          </w:p>
        </w:tc>
        <w:tc>
          <w:tcPr>
            <w:tcW w:w="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392</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7,461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707</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753</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1,087</w:t>
            </w:r>
          </w:p>
        </w:tc>
        <w:tc>
          <w:tcPr>
            <w:tcW w:w="72" w:type="dxa"/>
            <w:tcBorders/>
            <w:shd w:fill="CCEEFF" w:val="clear"/>
            <w:vAlign w:val="bottom"/>
          </w:tcPr>
          <w:p>
            <w:pPr>
              <w:pStyle w:val="TableContents"/>
              <w:bidi w:val="0"/>
              <w:spacing w:before="0" w:after="283"/>
              <w:jc w:val="left"/>
              <w:rPr/>
            </w:pPr>
            <w:r>
              <w:rPr/>
              <w:t> </w:t>
            </w:r>
          </w:p>
        </w:tc>
      </w:tr>
      <w:tr>
        <w:trPr/>
        <w:tc>
          <w:tcPr>
            <w:tcW w:w="293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32"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single" w:sz="2" w:space="1" w:color="000000"/>
              </w:pBdr>
              <w:bidi w:val="0"/>
              <w:spacing w:before="0" w:after="0"/>
              <w:jc w:val="left"/>
              <w:rPr/>
            </w:pPr>
            <w:r>
              <w:rPr/>
              <w:t> </w:t>
            </w:r>
          </w:p>
        </w:tc>
        <w:tc>
          <w:tcPr>
            <w:tcW w:w="83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93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 expenditures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2" w:type="dxa"/>
            <w:tcBorders/>
            <w:vAlign w:val="bottom"/>
          </w:tcPr>
          <w:p>
            <w:pPr>
              <w:pStyle w:val="TableContents"/>
              <w:bidi w:val="0"/>
              <w:spacing w:before="0" w:after="283"/>
              <w:jc w:val="right"/>
              <w:rPr/>
            </w:pPr>
            <w:r>
              <w:rPr/>
              <w:t>52,535</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w:t>
            </w:r>
          </w:p>
        </w:tc>
        <w:tc>
          <w:tcPr>
            <w:tcW w:w="834" w:type="dxa"/>
            <w:tcBorders/>
            <w:vAlign w:val="bottom"/>
          </w:tcPr>
          <w:p>
            <w:pPr>
              <w:pStyle w:val="TableContents"/>
              <w:bidi w:val="0"/>
              <w:spacing w:before="0" w:after="283"/>
              <w:jc w:val="right"/>
              <w:rPr/>
            </w:pPr>
            <w:r>
              <w:rPr/>
              <w:t>47,847</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139,244</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123,473</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179,570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201,071</w:t>
            </w:r>
          </w:p>
        </w:tc>
        <w:tc>
          <w:tcPr>
            <w:tcW w:w="72" w:type="dxa"/>
            <w:tcBorders/>
            <w:vAlign w:val="bottom"/>
          </w:tcPr>
          <w:p>
            <w:pPr>
              <w:pStyle w:val="TableContents"/>
              <w:bidi w:val="0"/>
              <w:spacing w:before="0" w:after="283"/>
              <w:jc w:val="left"/>
              <w:rPr/>
            </w:pPr>
            <w:r>
              <w:rPr/>
              <w:t> </w:t>
            </w:r>
          </w:p>
        </w:tc>
      </w:tr>
      <w:tr>
        <w:trPr/>
        <w:tc>
          <w:tcPr>
            <w:tcW w:w="293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32"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pBdr>
                <w:top w:val="double" w:sz="6" w:space="1" w:color="000000"/>
              </w:pBdr>
              <w:bidi w:val="0"/>
              <w:spacing w:before="0" w:after="0"/>
              <w:jc w:val="left"/>
              <w:rPr/>
            </w:pPr>
            <w:r>
              <w:rPr/>
              <w:t> </w:t>
            </w:r>
          </w:p>
        </w:tc>
        <w:tc>
          <w:tcPr>
            <w:tcW w:w="834"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72" w:type="dxa"/>
            <w:tcBorders/>
            <w:vAlign w:val="center"/>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Drydock downtime</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0"/>
              <w:jc w:val="left"/>
              <w:rPr>
                <w:rFonts w:ascii="Times New Roman" w:hAnsi="Times New Roman"/>
                <w:i/>
                <w:sz w:val="18"/>
              </w:rPr>
            </w:pPr>
            <w:r>
              <w:rPr>
                <w:rFonts w:ascii="Times New Roman" w:hAnsi="Times New Roman"/>
                <w:i/>
                <w:sz w:val="18"/>
              </w:rPr>
              <w:t>OSVs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834"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r>
      <w:tr>
        <w:trPr/>
        <w:tc>
          <w:tcPr>
            <w:tcW w:w="2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Number of vessels commencing drydock activities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3</w:t>
            </w:r>
          </w:p>
        </w:tc>
        <w:tc>
          <w:tcPr>
            <w:tcW w:w="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4</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16</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15</w:t>
            </w:r>
          </w:p>
        </w:tc>
        <w:tc>
          <w:tcPr>
            <w:tcW w:w="72" w:type="dxa"/>
            <w:tcBorders/>
            <w:shd w:fill="CCEEFF" w:val="clear"/>
            <w:vAlign w:val="bottom"/>
          </w:tcPr>
          <w:p>
            <w:pPr>
              <w:pStyle w:val="TableContents"/>
              <w:bidi w:val="0"/>
              <w:spacing w:before="0" w:after="283"/>
              <w:jc w:val="left"/>
              <w:rPr/>
            </w:pPr>
            <w:r>
              <w:rPr/>
              <w:t> </w:t>
            </w:r>
          </w:p>
        </w:tc>
      </w:tr>
      <w:tr>
        <w:trPr/>
        <w:tc>
          <w:tcPr>
            <w:tcW w:w="2936" w:type="dxa"/>
            <w:tcBorders/>
          </w:tcPr>
          <w:p>
            <w:pPr>
              <w:pStyle w:val="TableContents"/>
              <w:bidi w:val="0"/>
              <w:spacing w:before="0" w:after="0"/>
              <w:jc w:val="left"/>
              <w:rPr>
                <w:rFonts w:ascii="Times New Roman" w:hAnsi="Times New Roman"/>
                <w:sz w:val="20"/>
              </w:rPr>
            </w:pPr>
            <w:r>
              <w:rPr>
                <w:rFonts w:ascii="Times New Roman" w:hAnsi="Times New Roman"/>
                <w:sz w:val="20"/>
              </w:rPr>
              <w:t>Out-of-service time for drydock activities (in days)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164</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239</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536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425</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790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608</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MPSVs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83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left"/>
              <w:rPr>
                <w:sz w:val="4"/>
                <w:szCs w:val="4"/>
              </w:rPr>
            </w:pPr>
            <w:r>
              <w:rPr>
                <w:sz w:val="4"/>
                <w:szCs w:val="4"/>
              </w:rPr>
            </w:r>
          </w:p>
        </w:tc>
      </w:tr>
      <w:tr>
        <w:trPr/>
        <w:tc>
          <w:tcPr>
            <w:tcW w:w="2936" w:type="dxa"/>
            <w:tcBorders/>
          </w:tcPr>
          <w:p>
            <w:pPr>
              <w:pStyle w:val="TableContents"/>
              <w:bidi w:val="0"/>
              <w:spacing w:before="0" w:after="0"/>
              <w:jc w:val="left"/>
              <w:rPr>
                <w:rFonts w:ascii="Times New Roman" w:hAnsi="Times New Roman"/>
                <w:sz w:val="20"/>
              </w:rPr>
            </w:pPr>
            <w:r>
              <w:rPr>
                <w:rFonts w:ascii="Times New Roman" w:hAnsi="Times New Roman"/>
                <w:sz w:val="20"/>
              </w:rPr>
              <w:t>Number of vessels commencing drydock activities</w:t>
            </w:r>
          </w:p>
        </w:tc>
        <w:tc>
          <w:tcPr>
            <w:tcW w:w="1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2</w:t>
            </w:r>
          </w:p>
        </w:tc>
        <w:tc>
          <w:tcPr>
            <w:tcW w:w="72"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4" w:type="dxa"/>
            <w:tcBorders/>
            <w:vAlign w:val="bottom"/>
          </w:tcPr>
          <w:p>
            <w:pPr>
              <w:pStyle w:val="TableContents"/>
              <w:bidi w:val="0"/>
              <w:spacing w:before="0" w:after="283"/>
              <w:jc w:val="right"/>
              <w:rPr/>
            </w:pPr>
            <w:r>
              <w:rPr/>
              <w:t>0</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w:t>
            </w:r>
          </w:p>
        </w:tc>
        <w:tc>
          <w:tcPr>
            <w:tcW w:w="5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w:t>
            </w:r>
          </w:p>
        </w:tc>
        <w:tc>
          <w:tcPr>
            <w:tcW w:w="72" w:type="dxa"/>
            <w:tcBorders/>
            <w:vAlign w:val="bottom"/>
          </w:tcPr>
          <w:p>
            <w:pPr>
              <w:pStyle w:val="TableContents"/>
              <w:bidi w:val="0"/>
              <w:spacing w:before="0" w:after="283"/>
              <w:jc w:val="left"/>
              <w:rPr/>
            </w:pPr>
            <w:r>
              <w:rPr/>
              <w:t> </w:t>
            </w:r>
          </w:p>
        </w:tc>
      </w:tr>
      <w:tr>
        <w:trPr/>
        <w:tc>
          <w:tcPr>
            <w:tcW w:w="29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Out-of-service time for drydock activities (in days)</w:t>
            </w:r>
          </w:p>
        </w:tc>
        <w:tc>
          <w:tcPr>
            <w:tcW w:w="1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52</w:t>
            </w:r>
          </w:p>
        </w:tc>
        <w:tc>
          <w:tcPr>
            <w:tcW w:w="72"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4" w:type="dxa"/>
            <w:tcBorders/>
            <w:shd w:fill="CCEEFF" w:val="clear"/>
            <w:vAlign w:val="bottom"/>
          </w:tcPr>
          <w:p>
            <w:pPr>
              <w:pStyle w:val="TableContents"/>
              <w:bidi w:val="0"/>
              <w:spacing w:before="0" w:after="283"/>
              <w:jc w:val="right"/>
              <w:rPr/>
            </w:pPr>
            <w:r>
              <w:rPr/>
              <w:t>63</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78</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376</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406</w:t>
            </w:r>
          </w:p>
        </w:tc>
        <w:tc>
          <w:tcPr>
            <w:tcW w:w="5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191</w:t>
            </w:r>
          </w:p>
        </w:tc>
        <w:tc>
          <w:tcPr>
            <w:tcW w:w="72"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further explanation on what these items consist of, see “—Liquidity and Capital Resources—Capital Expenditures and Related Commitments.”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Reportable Segments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Revenues from customers are derived from chartering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invested capital without a permanent commitment of any particular vessel to any specific geographic region or customer market. </w:t>
      </w:r>
    </w:p>
    <w:p>
      <w:pPr>
        <w:pStyle w:val="TextBody"/>
        <w:bidi w:val="0"/>
        <w:spacing w:before="240" w:after="0"/>
        <w:jc w:val="left"/>
        <w:rPr>
          <w:rFonts w:ascii="Times New Roman" w:hAnsi="Times New Roman"/>
          <w:sz w:val="20"/>
        </w:rPr>
      </w:pPr>
      <w:r>
        <w:rPr>
          <w:rFonts w:ascii="Times New Roman" w:hAnsi="Times New Roman"/>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periods ended September 30, 2025 and 2024. The measure of segment assets is reported on the consolidated balance sheet as total assets as of September 30, 2025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sz w:val="20"/>
        </w:rPr>
      </w:pPr>
      <w:r>
        <w:rPr>
          <w:rFonts w:ascii="Times New Roman" w:hAnsi="Times New Roman"/>
          <w:b/>
          <w:sz w:val="20"/>
        </w:rPr>
        <w:t xml:space="preserve">Three Months Ended September 30, 2025 Compared to Three Months Ended September 30, 2024 </w:t>
      </w:r>
    </w:p>
    <w:p>
      <w:pPr>
        <w:pStyle w:val="TextBody"/>
        <w:bidi w:val="0"/>
        <w:spacing w:before="120" w:after="0"/>
        <w:jc w:val="left"/>
        <w:rPr>
          <w:rFonts w:ascii="Times New Roman" w:hAnsi="Times New Roman"/>
          <w:sz w:val="20"/>
        </w:rPr>
      </w:pPr>
      <w:r>
        <w:rPr>
          <w:rFonts w:ascii="Times New Roman" w:hAnsi="Times New Roman"/>
          <w:sz w:val="20"/>
        </w:rPr>
        <w:t xml:space="preserve">Summarized financial information for the three months ended September 30, 2025 and 2024, respectively, is shown below in the following table (in thousands, except % change):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652"/>
        <w:gridCol w:w="177"/>
        <w:gridCol w:w="140"/>
        <w:gridCol w:w="879"/>
        <w:gridCol w:w="171"/>
        <w:gridCol w:w="125"/>
        <w:gridCol w:w="140"/>
        <w:gridCol w:w="879"/>
        <w:gridCol w:w="171"/>
        <w:gridCol w:w="125"/>
        <w:gridCol w:w="140"/>
        <w:gridCol w:w="738"/>
        <w:gridCol w:w="171"/>
        <w:gridCol w:w="125"/>
        <w:gridCol w:w="59"/>
        <w:gridCol w:w="699"/>
        <w:gridCol w:w="283"/>
      </w:tblGrid>
      <w:tr>
        <w:trPr/>
        <w:tc>
          <w:tcPr>
            <w:tcW w:w="3652"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65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23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9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9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69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132,615</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120,080</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12,535</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10.4</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53,830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41,078</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12,752</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31.0</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186,445</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161,158</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25,287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15.7</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12,671</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12,048</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623</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5.2</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283"/>
              <w:jc w:val="left"/>
              <w:rPr>
                <w:sz w:val="4"/>
                <w:szCs w:val="4"/>
              </w:rPr>
            </w:pPr>
            <w:r>
              <w:rPr>
                <w:sz w:val="4"/>
                <w:szCs w:val="4"/>
              </w:rPr>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199,116</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173,206</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25,910</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15.0</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93,437</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92,499</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938</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1.0</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21,270</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16,703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4,567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27.3</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22,259</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19,230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3,029</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15.8</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1,737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1,828</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(91</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5.0</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138,703</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130,260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8,443</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6.5</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143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143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60,556</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42,946</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17,610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41.0</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gain (loss)</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(219</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(256</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37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(14.5</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(7,665</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(6,688</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(977</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14.6</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1,357</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1,562</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(205</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(13.1</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5,640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(5,640</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(100.0</w:t>
            </w:r>
          </w:p>
        </w:tc>
        <w:tc>
          <w:tcPr>
            <w:tcW w:w="283" w:type="dxa"/>
            <w:tcBorders/>
            <w:vAlign w:val="bottom"/>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11</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(11</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(100.0</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(2,103</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(4,332</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2,229</w:t>
            </w:r>
          </w:p>
        </w:tc>
        <w:tc>
          <w:tcPr>
            <w:tcW w:w="171"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699" w:type="dxa"/>
            <w:tcBorders/>
            <w:vAlign w:val="bottom"/>
          </w:tcPr>
          <w:p>
            <w:pPr>
              <w:pStyle w:val="TableContents"/>
              <w:bidi w:val="0"/>
              <w:spacing w:before="0" w:after="283"/>
              <w:jc w:val="right"/>
              <w:rPr/>
            </w:pPr>
            <w:r>
              <w:rPr/>
              <w:t>(51.5</w:t>
            </w:r>
          </w:p>
        </w:tc>
        <w:tc>
          <w:tcPr>
            <w:tcW w:w="283" w:type="dxa"/>
            <w:tcBorders/>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8"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69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6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51,926</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38,883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13,043</w:t>
            </w:r>
          </w:p>
        </w:tc>
        <w:tc>
          <w:tcPr>
            <w:tcW w:w="171"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699" w:type="dxa"/>
            <w:tcBorders/>
            <w:shd w:fill="CCEEFF" w:val="clear"/>
            <w:vAlign w:val="bottom"/>
          </w:tcPr>
          <w:p>
            <w:pPr>
              <w:pStyle w:val="TableContents"/>
              <w:bidi w:val="0"/>
              <w:spacing w:before="0" w:after="283"/>
              <w:jc w:val="right"/>
              <w:rPr/>
            </w:pPr>
            <w:r>
              <w:rPr/>
              <w:t>33.5</w:t>
            </w:r>
          </w:p>
        </w:tc>
        <w:tc>
          <w:tcPr>
            <w:tcW w:w="283" w:type="dxa"/>
            <w:tcBorders/>
            <w:shd w:fill="CCEEFF" w:val="clear"/>
            <w:vAlign w:val="bottom"/>
          </w:tcPr>
          <w:p>
            <w:pPr>
              <w:pStyle w:val="TableContents"/>
              <w:bidi w:val="0"/>
              <w:spacing w:before="0" w:after="283"/>
              <w:jc w:val="left"/>
              <w:rPr/>
            </w:pPr>
            <w:r>
              <w:rPr/>
              <w:t>% </w:t>
            </w:r>
          </w:p>
        </w:tc>
      </w:tr>
      <w:tr>
        <w:trPr/>
        <w:tc>
          <w:tcPr>
            <w:tcW w:w="3652" w:type="dxa"/>
            <w:tcBorders/>
            <w:vAlign w:val="bottom"/>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699"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Revenues for the three months ended September 30, 2025 and 2024 were $199.1 million and $173.2 million, respectively. Our weighted-average active operating fleet for the three months ended September 30, 2025 and 2024 was 48.0 and 51.0 vessels, respectively. For the three months ended September 30, 2025, we had a weighted-average of 23.0 vessels stacked compared to a weighted-average of 21.0 vessels stacked in the prior-year period. </w:t>
      </w:r>
    </w:p>
    <w:p>
      <w:pPr>
        <w:pStyle w:val="TextBody"/>
        <w:bidi w:val="0"/>
        <w:spacing w:before="240" w:after="0"/>
        <w:jc w:val="left"/>
        <w:rPr>
          <w:rFonts w:ascii="Times New Roman" w:hAnsi="Times New Roman"/>
          <w:sz w:val="20"/>
        </w:rPr>
      </w:pPr>
      <w:r>
        <w:rPr>
          <w:rFonts w:ascii="Times New Roman" w:hAnsi="Times New Roman"/>
          <w:sz w:val="20"/>
        </w:rPr>
        <w:t xml:space="preserve">Vessel revenues for the three months ended September 30, 2025 and 2024 were $186.4 million and $161.2 million, respectively. The increase in vessel revenues from the prior-year period was primarily due to improved market conditions for our active OSVs. Revenues from our OSV fleet increased $25.1 million, or 25.1%, for the three months ended September 30, 2025 compared to the prior-year period. Average OSV dayrates were $44,596 for the three months ended September 30, 2025 compared to $40,987 for the same period in 2024. Our average OSV utilization rate was 51.7% for the three months ended September 30, 2025 compared to 44.2% for the same period in 2024. Our OSVs incurred 164 days of aggregate downtime for regulatory drydockings and were stacked for an aggregate of 2,024 days during the three months ended September 30, 2025 compared to 239 and 1,932 days, respectively, for the same period in 2024. Excluding stacked vessel days, our active OSV utilization rate was 82.4% and 68.0% for the comparative periods, respectively. Our effective, or utilization-adjusted, OSV dayrates were $23,056 for the three months ended September 30, 2025 compared to $18,116 for the same period in 2024. Revenues from our MPSV fleet increased $0.2 million, or 0.3%, for the three months ended September 30, 2025 compared to the prior-year period. Average MPSV dayrates were $85,735 for the three months ended September 30, 2025 compared to $69,182 for the three months ended September 30, 2024. Our MPSV utilization rate was 64.8% for the three months ended September 30, 2025 compared to 80.1% for the same period in 2024. Our MPSVs incurred 52 days of aggregate downtime for regulatory drydockings and were stacked for an aggregate of 92 days during the three months ended September 30, 2025 compared to 63 and zero days, respectively, for the same period in 2024. Excluding stacked vessel days, our active MPSV utilization rate was 70.7% and 80.1% during the comparative periods, respectively. Our effective MPSV dayrates were $55,556 for the three months ended September 30, 2025 compared to $55,415 for the same period in 2024. Domestic vessel revenues for the three months ended September 30, 2025 increased $12.5 million, or 10.4%, from the year-ago period primarily due to improved market conditions during 2025. Foreign vessel revenues increased $12.8 million, or 31.0%, primarily due to improved market conditions for vessels operating in Brazil and elsewhere in Latin America. Foreign vessel revenues for the three months ended September 30, 2025 comprised 28.9% of our total vessel revenues compared to 25.5% for the year-ago period. </w:t>
      </w:r>
    </w:p>
    <w:p>
      <w:pPr>
        <w:pStyle w:val="TextBody"/>
        <w:bidi w:val="0"/>
        <w:spacing w:before="240" w:after="0"/>
        <w:jc w:val="left"/>
        <w:rPr>
          <w:rFonts w:ascii="Times New Roman" w:hAnsi="Times New Roman"/>
          <w:sz w:val="20"/>
        </w:rPr>
      </w:pPr>
      <w:r>
        <w:rPr>
          <w:rFonts w:ascii="Times New Roman" w:hAnsi="Times New Roman"/>
          <w:sz w:val="20"/>
        </w:rPr>
        <w:t xml:space="preserve">Non-vessel revenues for the three months ended September 30, 2025 and 2024 were $12.7 million and $12.0 million, respectively. The 5.2% year-over-year increase in non-vessel revenues during the three months ended September 30, 2025 was primarily due to higher revenues earned from four vessels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i/>
          <w:sz w:val="20"/>
        </w:rPr>
        <w:t>Operating Expense</w:t>
      </w:r>
      <w:r>
        <w:rPr>
          <w:rFonts w:ascii="Times New Roman" w:hAnsi="Times New Roman"/>
          <w:sz w:val="20"/>
        </w:rPr>
        <w:t xml:space="preserve">. Operating expense for the three months ended September 30, 2025 and 2024 was $93.4 million and $92.5 million, respectively. Operating expenses were slightly higher in the third quarter of 2025 primarily due to increased contract-specific cost of sales. </w:t>
      </w:r>
    </w:p>
    <w:p>
      <w:pPr>
        <w:pStyle w:val="TextBody"/>
        <w:bidi w:val="0"/>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for the three months ended September 30, 2025 and 2024 was $21.3 million and $16.7 million, respectively. Depreciation in the third quarter of 2025 was consistent with the third quarter of 2024. Amortization increased as a result of 20 vessel recertification drydockings being completed since June 30, 2024 and the lease of certain vessel equipment. In addition, the average cost of vessel recertifications has increased since June 30, 2024.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G&amp;A expense for the three months ended September 30, 2025 and 2024 was $22.3 million and $19.2 million, respectively. The year-over-year increase in G&amp;A expense was primarily attributable to increases in bad debt expense resulting from delays in customer receipts and short-term incentive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expense for the three months ended September 30, 2025 and 2024 was $1.7 million and $1.8 million, respectively. The stock-based compensation expense decrease from the prior-year period was primarily attributable to the 2024 MIP Repurchases, which resulted in the cash settlement of unvested and vested, unsettled restricted stock units and stock options that were issued through the 2020 Management Incentive Plan. </w:t>
      </w:r>
    </w:p>
    <w:p>
      <w:pPr>
        <w:pStyle w:val="TextBody"/>
        <w:bidi w:val="0"/>
        <w:spacing w:before="240" w:after="0"/>
        <w:jc w:val="left"/>
        <w:rPr>
          <w:rFonts w:ascii="Times New Roman" w:hAnsi="Times New Roman"/>
          <w:sz w:val="20"/>
        </w:rPr>
      </w:pPr>
      <w:r>
        <w:rPr>
          <w:rFonts w:ascii="Times New Roman" w:hAnsi="Times New Roman"/>
          <w:i/>
          <w:sz w:val="20"/>
        </w:rPr>
        <w:t>Operating Incom</w:t>
      </w:r>
      <w:r>
        <w:rPr>
          <w:rFonts w:ascii="Times New Roman" w:hAnsi="Times New Roman"/>
          <w:sz w:val="20"/>
        </w:rPr>
        <w:t xml:space="preserve">e. Operating income for the three months ended September 30, 2025 and 2024 was $60.6 million and $42.9 million, respectively. Operating income increased by $17.6 million, or 41.0%, for the reasons discussed above, but primarily due to an increase in revenues. Operating income as a percentage of revenues was 30.4% for the three months ended September 30, 2025 and 24.8% for the same period in 2024. </w:t>
      </w:r>
    </w:p>
    <w:p>
      <w:pPr>
        <w:pStyle w:val="TextBody"/>
        <w:bidi w:val="0"/>
        <w:spacing w:before="240" w:after="0"/>
        <w:jc w:val="left"/>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for the three months ended September 30, 2025 and 2024 was $7.7 million and $6.7 million, respectively. Interest expense increased primarily due to the Second Lien Debt Refinancing, resulting in a higher fixed interest rate of 9.25% on a higher outstanding balance, along with the related amortization of the original issue discount and deferred issuance costs for our Second Lien Term Loans due 2033 compared to the prior second-lien fixed rate of 8.25% with no amortized discounts or issuance costs. </w:t>
      </w:r>
    </w:p>
    <w:p>
      <w:pPr>
        <w:pStyle w:val="TextBody"/>
        <w:bidi w:val="0"/>
        <w:spacing w:before="24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for the three months ended September 30, 2025 and 2024 was $1.4 million and $1.6 million, respectively. Our average cash balance decreased to $88.2 million during the three months ended September 30, 2025 compared to $101.4 million for the same period in 2024. The average interest rate earned on our invested cash balances was 5.2% and 6.2% for the three months ended September 30, 2025 and 2024, respectively. The decrease in average cash balance was primarily due to capital expenditures incurred subsequent to September 30, 2024 and the 2024 Tender Offer and 2024 MIP Repurchases (each as defined below), partially offset by net proceeds from the Second Lien Debt Refinancing and the sale of one U.S.-flagged, HOS 265 class DP-2 OSV in May 2025. The decrease in the average interest rate is due to market decreases in bank interest rates earned on invested cash balances. </w:t>
      </w:r>
    </w:p>
    <w:p>
      <w:pPr>
        <w:pStyle w:val="TextBody"/>
        <w:bidi w:val="0"/>
        <w:spacing w:before="240" w:after="0"/>
        <w:jc w:val="left"/>
        <w:rPr>
          <w:rFonts w:ascii="Times New Roman" w:hAnsi="Times New Roman"/>
          <w:sz w:val="20"/>
        </w:rPr>
      </w:pPr>
      <w:r>
        <w:rPr>
          <w:rFonts w:ascii="Times New Roman" w:hAnsi="Times New Roman"/>
          <w:i/>
          <w:sz w:val="20"/>
        </w:rPr>
        <w:t>Fair Value Adjustment of Liability-Classified Warrants</w:t>
      </w:r>
      <w:r>
        <w:rPr>
          <w:rFonts w:ascii="Times New Roman" w:hAnsi="Times New Roman"/>
          <w:sz w:val="20"/>
        </w:rPr>
        <w:t xml:space="preserve">. Fair value adjustment of liability-classified warrants for the three months ended September 30, 2024 was a $5.6 million loss. On December 10, 2024, the Creditor Warrant Agreement (as defined below) was modified to remove the language requiring classification of the warrants as a liability, resulting in the final fair value adjustment of liability-classified warrants being recorded as of the modification date in the fourth quarter of 2024. Accordingly, there was no fair value adjustment for the three months ended September 30, 2025. </w:t>
      </w:r>
    </w:p>
    <w:p>
      <w:pPr>
        <w:pStyle w:val="TextBody"/>
        <w:bidi w:val="0"/>
        <w:spacing w:before="240" w:after="0"/>
        <w:jc w:val="left"/>
        <w:rPr>
          <w:rFonts w:ascii="Times New Roman" w:hAnsi="Times New Roman"/>
          <w:sz w:val="20"/>
        </w:rPr>
      </w:pPr>
      <w:r>
        <w:rPr>
          <w:rFonts w:ascii="Times New Roman" w:hAnsi="Times New Roman"/>
          <w:i/>
          <w:sz w:val="20"/>
        </w:rPr>
        <w:t>Income Tax Expense</w:t>
      </w:r>
      <w:r>
        <w:rPr>
          <w:rFonts w:ascii="Times New Roman" w:hAnsi="Times New Roman"/>
          <w:sz w:val="20"/>
        </w:rPr>
        <w:t xml:space="preserve">. Our effective income tax expense rate was 3.9% and 10.0% for the three months ended September 30, 2025 and 2024, respectively. Our current income tax expense reflects current U.S. and foreign tax liabilities and certain deferred tax liabilities that could not be offset with a reduction in the valuation allowance. The tax rate for the third quarter of 2025 was lower than the same period in 2024 primarily due to lower U.S. deferred taxes, as impacted by the One Big Beautiful Bill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Nine Months Ended September 30, 2025 Compared to Nine Months Ended September 30, 2024 </w:t>
      </w:r>
    </w:p>
    <w:p>
      <w:pPr>
        <w:pStyle w:val="TextBody"/>
        <w:bidi w:val="0"/>
        <w:spacing w:before="120" w:after="0"/>
        <w:jc w:val="left"/>
        <w:rPr>
          <w:rFonts w:ascii="Times New Roman" w:hAnsi="Times New Roman"/>
          <w:sz w:val="20"/>
        </w:rPr>
      </w:pPr>
      <w:r>
        <w:rPr>
          <w:rFonts w:ascii="Times New Roman" w:hAnsi="Times New Roman"/>
          <w:sz w:val="20"/>
        </w:rPr>
        <w:t xml:space="preserve">Summarized financial information for the nine months ended September 30, 2025 and 2024, respectively, is shown below in the following table (in thousands, except % change):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544"/>
        <w:gridCol w:w="175"/>
        <w:gridCol w:w="140"/>
        <w:gridCol w:w="874"/>
        <w:gridCol w:w="170"/>
        <w:gridCol w:w="123"/>
        <w:gridCol w:w="140"/>
        <w:gridCol w:w="874"/>
        <w:gridCol w:w="170"/>
        <w:gridCol w:w="123"/>
        <w:gridCol w:w="140"/>
        <w:gridCol w:w="733"/>
        <w:gridCol w:w="170"/>
        <w:gridCol w:w="123"/>
        <w:gridCol w:w="60"/>
        <w:gridCol w:w="835"/>
        <w:gridCol w:w="280"/>
      </w:tblGrid>
      <w:tr>
        <w:trPr/>
        <w:tc>
          <w:tcPr>
            <w:tcW w:w="3544"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54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3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0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170"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4"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345,605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323,681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21,924</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6.8</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161,977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120,684</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41,293</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34.2</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507,582</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444,365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63,217</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14.2</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37,963</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35,617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2,346</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6.6</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545,545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479,982</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65,563</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13.7</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280,669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274,317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6,352</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2.3</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60,225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46,959</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13,266</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28.3</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57,274</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51,660</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5,614</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10.9</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5,190</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6,251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(1,061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(17.0</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403,358</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379,187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24,171</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6.4</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13,022</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31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12,991</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&gt; 100.0</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155,209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100,826</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54,383</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53.9</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gain (loss)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(148</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(1,013</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865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(85.4</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(67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(67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(23,594</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(20,125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(3,469</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17.2</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3,702</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4,569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(867</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(19.0</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6,336</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(6,336</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(100.0</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11</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(11</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(100.0</w:t>
            </w:r>
          </w:p>
        </w:tc>
        <w:tc>
          <w:tcPr>
            <w:tcW w:w="280" w:type="dxa"/>
            <w:tcBorders/>
            <w:vAlign w:val="bottom"/>
          </w:tcPr>
          <w:p>
            <w:pPr>
              <w:pStyle w:val="TableContents"/>
              <w:bidi w:val="0"/>
              <w:spacing w:before="0" w:after="283"/>
              <w:jc w:val="left"/>
              <w:rPr/>
            </w:pPr>
            <w:r>
              <w:rPr/>
              <w:t>) </w:t>
            </w:r>
          </w:p>
        </w:tc>
      </w:tr>
      <w:tr>
        <w:trPr/>
        <w:tc>
          <w:tcPr>
            <w:tcW w:w="35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(8,443</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(7,495</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(948</w:t>
            </w:r>
          </w:p>
        </w:tc>
        <w:tc>
          <w:tcPr>
            <w:tcW w:w="17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(12.6</w:t>
            </w:r>
          </w:p>
        </w:tc>
        <w:tc>
          <w:tcPr>
            <w:tcW w:w="280" w:type="dxa"/>
            <w:tcBorders/>
            <w:shd w:fill="CCEEFF" w:val="clear"/>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r>
        <w:trPr/>
        <w:tc>
          <w:tcPr>
            <w:tcW w:w="3544"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126,659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83,109</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43,550</w:t>
            </w:r>
          </w:p>
        </w:tc>
        <w:tc>
          <w:tcPr>
            <w:tcW w:w="17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52.4</w:t>
            </w:r>
          </w:p>
        </w:tc>
        <w:tc>
          <w:tcPr>
            <w:tcW w:w="280" w:type="dxa"/>
            <w:tcBorders/>
            <w:vAlign w:val="bottom"/>
          </w:tcPr>
          <w:p>
            <w:pPr>
              <w:pStyle w:val="TableContents"/>
              <w:bidi w:val="0"/>
              <w:spacing w:before="0" w:after="283"/>
              <w:jc w:val="left"/>
              <w:rPr/>
            </w:pPr>
            <w:r>
              <w:rPr/>
              <w:t>% </w:t>
            </w:r>
          </w:p>
        </w:tc>
      </w:tr>
      <w:tr>
        <w:trPr/>
        <w:tc>
          <w:tcPr>
            <w:tcW w:w="3544"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Revenues for the nine months ended September 30, 2025 and 2024 were $545.5 million and 480.0 million, respectively. Our weighted-average active operating fleet for the nine months ended September 30, 2025 and 2024 was 48.8 and 49.6 vessels, respectively. For the nine months ended September 30, 2025, we had an average of 22.6 vessels stacked compared to an average of 21.0 vessels stacked in the prior-year period. </w:t>
      </w:r>
    </w:p>
    <w:p>
      <w:pPr>
        <w:pStyle w:val="TextBody"/>
        <w:bidi w:val="0"/>
        <w:spacing w:before="240" w:after="0"/>
        <w:jc w:val="left"/>
        <w:rPr>
          <w:rFonts w:ascii="Times New Roman" w:hAnsi="Times New Roman"/>
          <w:sz w:val="20"/>
        </w:rPr>
      </w:pPr>
      <w:r>
        <w:rPr>
          <w:rFonts w:ascii="Times New Roman" w:hAnsi="Times New Roman"/>
          <w:sz w:val="20"/>
        </w:rPr>
        <w:t xml:space="preserve">Vessel revenues for the nine months ended September 30, 2025 and 2024 were $507.6 million and $444.4 million, respectively. The increase in vessel revenues is primarily due to improved market conditions for our active OSVs during the nine months ended September 30, 2025. Revenues from our OSV fleet increased $62.8 million, or 22.3%, for the nine months ended September 30, 2025 compared to the prior-year period. Average OSV dayrates were $44,366 for the nine months ended September 30, 2025 compared to $41,014 for the same period in 2024. Our average OSV utilization rate was 47.9% for the nine months ended September 30, 2025 compared to 42.8% for the same period in 2024. Our OSVs incurred 536 days of aggregate downtime for regulatory drydockings and were stacked for an aggregate of 5,947 days during the nine months ended September 30, 2025 compared to 425 and 5,754 days, respectively, for the same period in 2024. Excluding stacked vessel days, our active OSV utilization rate was 75.6% and 66.7% for the comparative periods, respectively. Our effective OSV dayrates were $21,251 for the nine months ended September 30, 2025 compared to $17,554 for the same period in 2024. Revenues from our MPSV fleet increased $0.4 million, or 0.2%, for the nine months ended September 30, 2025 compared to the prior-year period. Average MPSV dayrates were $82,518 for the nine months ended September 30, 2025 compared to $65,943 for the same period in 2024.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MPSV utilization rate was 60.3% for the nine months ended September 30, 2025 compared to 75.0% for the same period in 2024. Our MPSVs incurred 78 days of aggregate downtime for regulatory drydockings and were stacked for an aggregate of 243 days during the nine months ended September 30, 2025 compared to 376 and zero days, respectively, for the same period in 2024. Excluding stacked vessel days, our active MPSV utilization rate was 65.1% and 75.0% during the comparative periods, respectively. Our effective MPSV dayrates were $49,758 for the nine months ended September 30, 2025 compared to $49,457 for the same period in 2024. Domestic vessel revenues increased $22.0 million, or 6.8%, from the year-ago period primarily due to improved market conditions for vessels operating domestically during the nine months ended September 30, 2025. Foreign vessel revenues increased $41.3 million, or 34.2%, primarily due to improved market conditions for vessels operating in Brazil and elsewhere in Latin America during the nine months ended September 30, 2025. Foreign vessel revenues for the nine months ended September 30, 2025 comprised 31.9% of our total vessel revenues compared to 27.2% for the prior-year period. </w:t>
      </w:r>
    </w:p>
    <w:p>
      <w:pPr>
        <w:pStyle w:val="TextBody"/>
        <w:bidi w:val="0"/>
        <w:spacing w:before="240" w:after="0"/>
        <w:jc w:val="left"/>
        <w:rPr>
          <w:rFonts w:ascii="Times New Roman" w:hAnsi="Times New Roman"/>
          <w:sz w:val="20"/>
        </w:rPr>
      </w:pPr>
      <w:r>
        <w:rPr>
          <w:rFonts w:ascii="Times New Roman" w:hAnsi="Times New Roman"/>
          <w:sz w:val="20"/>
        </w:rPr>
        <w:t xml:space="preserve">Non-vessel revenues for the nine months ended September 30, 2025 and 2024 were $38.0 million and $35.6 million, respectively. The 6.6% year-over-year increase in non-vessel revenues during the nine months ended September 30, 2025 was primarily due to higher revenues earned from four vessels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i/>
          <w:sz w:val="20"/>
        </w:rPr>
        <w:t>Operating Expense</w:t>
      </w:r>
      <w:r>
        <w:rPr>
          <w:rFonts w:ascii="Times New Roman" w:hAnsi="Times New Roman"/>
          <w:sz w:val="20"/>
        </w:rPr>
        <w:t xml:space="preserve">. Operating expense for the nine months ended September 30, 2025 and 2024 was $280.7 million and $274.3 million, respectively. Operating expenses were slightly higher in the nine months ended September 30, 2025 primarily due to increased contract-specific cost of sales. </w:t>
      </w:r>
    </w:p>
    <w:p>
      <w:pPr>
        <w:pStyle w:val="TextBody"/>
        <w:bidi w:val="0"/>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for the nine months ended September 30, 2025 and 2024 was $60.2 million and $47.0 million, respectively. Depreciation increased from the prior year due to five newly acquired vessels being placed into service subsequent to December 31, 2023. Amortization increased primarily due to rising costs of vessel recertifications, as well as a result of 32 vessel recertification drydockings being completed since December 31, 2023.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G&amp;A expense for the nine months ended September 30, 2025 and 2024 was $57.3 million and $51.7 million, respectively. The year-over-year increase in G&amp;A expense was primarily attributable to increases in bad debt expense resulting from delays in customer receipts and short-term incentive compensation.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expense for the nine months ended September 30, 2025 and 2024 was $5.2 million and $6.3 million, respectively. The stock-based compensation expense decrease from the prior-year period was primarily attributable to the 2024 MIP Repurchases, which resulted in the cash settlement of unvested and vested, unsettled restricted stock units and stock options that were issued through the 2020 Management Incentive Plan. </w:t>
      </w:r>
    </w:p>
    <w:p>
      <w:pPr>
        <w:pStyle w:val="TextBody"/>
        <w:bidi w:val="0"/>
        <w:spacing w:before="240" w:after="0"/>
        <w:jc w:val="left"/>
        <w:rPr>
          <w:rFonts w:ascii="Times New Roman" w:hAnsi="Times New Roman"/>
          <w:sz w:val="20"/>
        </w:rPr>
      </w:pPr>
      <w:r>
        <w:rPr>
          <w:rFonts w:ascii="Times New Roman" w:hAnsi="Times New Roman"/>
          <w:i/>
          <w:sz w:val="20"/>
        </w:rPr>
        <w:t>Operating Income</w:t>
      </w:r>
      <w:r>
        <w:rPr>
          <w:rFonts w:ascii="Times New Roman" w:hAnsi="Times New Roman"/>
          <w:sz w:val="20"/>
        </w:rPr>
        <w:t xml:space="preserve">. Operating income for the nine months ended September 30, 2025 and 2024 was $155.2 million and $100.8 million, respectively. Operating income increased by $54.4 million, or 53.9%, during the current-year period compared to the prior-year period for the reasons discussed above and the sale of one U.S.-flagged, HOS 265 class DP-2 OSV at a substantial gain. Operating income as a percentage of revenues was 28.5% for the nine months ended September 30, 2025 and 21.0% for the same period in 2024. Excluding the gain on vessel sale, our operating margin for the nine months ended September 30, 2025 was 26.1%. </w:t>
      </w:r>
    </w:p>
    <w:p>
      <w:pPr>
        <w:pStyle w:val="TextBody"/>
        <w:bidi w:val="0"/>
        <w:spacing w:before="240" w:after="0"/>
        <w:jc w:val="left"/>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for the nine months ended September 30, 2025 and 2024 was $23.6 million and $20.1 million, respectively. Interest expense increased primarily due to the Second Lien Debt Refinancing, resulting in a higher fixed interest rate of 9.25% on a higher outstanding balance, along with the related amortization of the original issue discount and deferred issuance costs for our Second Lien Term Loans due 2033 compared to the prior second-lien fixed rate of 8.25% with no amortized discounts or issuance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for the nine months ended September 30, 2025 and 2024 was $3.7 million and $4.6 million, respectively. Our average cash balance decreased to $76.3 million during the current-year period compared to $105.3 million for the prior-year period. The average interest rate earned on our invested cash balances was 4.8% and 5.8% in the first nine months ended September 30, 2025 and 2024, respectively. The decrease in average cash balance was primarily due to capital expenditures incurred subsequent to September 30, 2024, the 2024 Tender Offer and the 2024 MIP Repurchases, partially offset by net proceeds from the Second Lien Debt Refinancing and the sale of one U.S.-flagged, HOS 265 class DP-2 OSV In May 2025. The decrease in the average interest rate is due to market decreases in bank interest rates earned on invested cash balances. </w:t>
      </w:r>
    </w:p>
    <w:p>
      <w:pPr>
        <w:pStyle w:val="TextBody"/>
        <w:bidi w:val="0"/>
        <w:spacing w:before="240" w:after="0"/>
        <w:jc w:val="left"/>
        <w:rPr>
          <w:rFonts w:ascii="Times New Roman" w:hAnsi="Times New Roman"/>
          <w:sz w:val="20"/>
        </w:rPr>
      </w:pPr>
      <w:r>
        <w:rPr>
          <w:rFonts w:ascii="Times New Roman" w:hAnsi="Times New Roman"/>
          <w:i/>
          <w:sz w:val="20"/>
        </w:rPr>
        <w:t>Fair Value Adjustment of Liability-Classified Warrants</w:t>
      </w:r>
      <w:r>
        <w:rPr>
          <w:rFonts w:ascii="Times New Roman" w:hAnsi="Times New Roman"/>
          <w:sz w:val="20"/>
        </w:rPr>
        <w:t xml:space="preserve">. Fair value adjustment of liability-classified warrants for the nine months ended September 30, 2024 was a $6.3 million gain. On December 10, 2024, the Creditor Warrant Agreement was modified to remove the language requiring classification of the warrants as a liability, resulting in the final fair value adjustment of liability-classified warrants being recorded as of the modification date in the fourth quarter of 2024. Accordingly, there was no fair value adjustment for the nine months ended September 30, 2025. </w:t>
      </w:r>
    </w:p>
    <w:p>
      <w:pPr>
        <w:pStyle w:val="TextBody"/>
        <w:bidi w:val="0"/>
        <w:spacing w:before="240" w:after="0"/>
        <w:jc w:val="left"/>
        <w:rPr>
          <w:rFonts w:ascii="Times New Roman" w:hAnsi="Times New Roman"/>
          <w:sz w:val="20"/>
        </w:rPr>
      </w:pPr>
      <w:r>
        <w:rPr>
          <w:rFonts w:ascii="Times New Roman" w:hAnsi="Times New Roman"/>
          <w:i/>
          <w:sz w:val="20"/>
        </w:rPr>
        <w:t>Income Tax Expense</w:t>
      </w:r>
      <w:r>
        <w:rPr>
          <w:rFonts w:ascii="Times New Roman" w:hAnsi="Times New Roman"/>
          <w:sz w:val="20"/>
        </w:rPr>
        <w:t xml:space="preserve">. Our effective income tax expense rate was 6.2% and 8.3% for the nine months ended September 30, 2025 and 2024, respectively. Our current income tax expense reflects current U.S. and foreign tax liabilities and certain deferred tax liabilities that could not be offset with a reduction in the valuation allowance. </w:t>
      </w:r>
    </w:p>
    <w:p>
      <w:pPr>
        <w:pStyle w:val="TextBody"/>
        <w:bidi w:val="0"/>
        <w:spacing w:before="360" w:after="0"/>
        <w:jc w:val="left"/>
        <w:rPr>
          <w:rFonts w:ascii="Times New Roman" w:hAnsi="Times New Roman"/>
          <w:b/>
          <w:sz w:val="20"/>
        </w:rPr>
      </w:pPr>
      <w:r>
        <w:rPr>
          <w:rFonts w:ascii="Times New Roman" w:hAnsi="Times New Roman"/>
          <w:b/>
          <w:sz w:val="20"/>
        </w:rPr>
        <w:t xml:space="preserve">Year Ended December 31, 2024 Compared to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Summarized financial information for the years ended December 31, 2024 and 2023, respectively, is shown below in the following table (in thousands, except % change):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122"/>
        <w:gridCol w:w="164"/>
        <w:gridCol w:w="187"/>
        <w:gridCol w:w="1080"/>
        <w:gridCol w:w="204"/>
        <w:gridCol w:w="124"/>
        <w:gridCol w:w="187"/>
        <w:gridCol w:w="1083"/>
        <w:gridCol w:w="155"/>
        <w:gridCol w:w="110"/>
        <w:gridCol w:w="140"/>
        <w:gridCol w:w="723"/>
        <w:gridCol w:w="155"/>
        <w:gridCol w:w="109"/>
        <w:gridCol w:w="60"/>
        <w:gridCol w:w="790"/>
        <w:gridCol w:w="281"/>
      </w:tblGrid>
      <w:tr>
        <w:trPr/>
        <w:tc>
          <w:tcPr>
            <w:tcW w:w="312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12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28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97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0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2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9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0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9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429,447</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387,952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41,495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10.7</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162,799</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140,828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21,971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15.6</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592,246</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528,780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63,466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12.0</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48,605</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44,669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3,936</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8.8</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640,851</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573,449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67,402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11.8</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364,584</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305,463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59,121</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19.4</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64,546</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47,851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16,695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34.9</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71,110</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66,108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5,002</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7.6</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9,384</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19,097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(9,713</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(50.9</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509,624</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438,519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71,105</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16.2</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42</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2,702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(2,660</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(98.4</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131,269</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137,632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(6,363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(4.6</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(100.0</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(9,136</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(3,693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(5,443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&gt; 100.0</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(1,434</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(1,559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(8.0</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(26,382</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(39,802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13,420</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(33.7</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5,763</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(3,992</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(40.9</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5,412</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(10,917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16,329</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&gt; 100.0</w:t>
            </w:r>
          </w:p>
        </w:tc>
        <w:tc>
          <w:tcPr>
            <w:tcW w:w="281" w:type="dxa"/>
            <w:tcBorders/>
            <w:vAlign w:val="bottom"/>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(8</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3" w:type="dxa"/>
            <w:tcBorders/>
            <w:shd w:fill="CCEEFF" w:val="clear"/>
            <w:vAlign w:val="bottom"/>
          </w:tcPr>
          <w:p>
            <w:pPr>
              <w:pStyle w:val="TableContents"/>
              <w:bidi w:val="0"/>
              <w:spacing w:before="0" w:after="283"/>
              <w:jc w:val="right"/>
              <w:rPr/>
            </w:pPr>
            <w:r>
              <w:rPr/>
              <w:t>853</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(861</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&gt; 100.0</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(12,682</w:t>
            </w:r>
          </w:p>
        </w:tc>
        <w:tc>
          <w:tcPr>
            <w:tcW w:w="204"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3" w:type="dxa"/>
            <w:tcBorders/>
            <w:vAlign w:val="bottom"/>
          </w:tcPr>
          <w:p>
            <w:pPr>
              <w:pStyle w:val="TableContents"/>
              <w:bidi w:val="0"/>
              <w:spacing w:before="0" w:after="283"/>
              <w:jc w:val="right"/>
              <w:rPr/>
            </w:pPr>
            <w:r>
              <w:rPr/>
              <w:t>(16,495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3,813</w:t>
            </w:r>
          </w:p>
        </w:tc>
        <w:tc>
          <w:tcPr>
            <w:tcW w:w="155"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tcBorders/>
            <w:vAlign w:val="bottom"/>
          </w:tcPr>
          <w:p>
            <w:pPr>
              <w:pStyle w:val="TableContents"/>
              <w:bidi w:val="0"/>
              <w:spacing w:before="0" w:after="283"/>
              <w:jc w:val="right"/>
              <w:rPr/>
            </w:pPr>
            <w:r>
              <w:rPr/>
              <w:t>(23.1</w:t>
            </w:r>
          </w:p>
        </w:tc>
        <w:tc>
          <w:tcPr>
            <w:tcW w:w="281" w:type="dxa"/>
            <w:tcBorders/>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0"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9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3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0" w:type="dxa"/>
            <w:tcBorders/>
            <w:shd w:fill="CCEEFF" w:val="clear"/>
            <w:vAlign w:val="bottom"/>
          </w:tcPr>
          <w:p>
            <w:pPr>
              <w:pStyle w:val="TableContents"/>
              <w:bidi w:val="0"/>
              <w:spacing w:before="0" w:after="283"/>
              <w:jc w:val="right"/>
              <w:rPr/>
            </w:pPr>
            <w:r>
              <w:rPr/>
              <w:t>92,802</w:t>
            </w:r>
          </w:p>
        </w:tc>
        <w:tc>
          <w:tcPr>
            <w:tcW w:w="204"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1083" w:type="dxa"/>
            <w:tcBorders/>
            <w:shd w:fill="CCEEFF" w:val="clear"/>
            <w:vAlign w:val="bottom"/>
          </w:tcPr>
          <w:p>
            <w:pPr>
              <w:pStyle w:val="TableContents"/>
              <w:bidi w:val="0"/>
              <w:spacing w:before="0" w:after="283"/>
              <w:jc w:val="right"/>
              <w:rPr/>
            </w:pPr>
            <w:r>
              <w:rPr/>
              <w:t>74,538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18,264</w:t>
            </w:r>
          </w:p>
        </w:tc>
        <w:tc>
          <w:tcPr>
            <w:tcW w:w="155" w:type="dxa"/>
            <w:tcBorders/>
            <w:shd w:fill="CCEEFF" w:val="clear"/>
            <w:vAlign w:val="bottom"/>
          </w:tcPr>
          <w:p>
            <w:pPr>
              <w:pStyle w:val="TableContents"/>
              <w:bidi w:val="0"/>
              <w:spacing w:before="0" w:after="283"/>
              <w:jc w:val="left"/>
              <w:rPr/>
            </w:pPr>
            <w:r>
              <w:rPr/>
              <w:t> </w:t>
            </w:r>
          </w:p>
        </w:tc>
        <w:tc>
          <w:tcPr>
            <w:tcW w:w="10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tcBorders/>
            <w:shd w:fill="CCEEFF" w:val="clear"/>
            <w:vAlign w:val="bottom"/>
          </w:tcPr>
          <w:p>
            <w:pPr>
              <w:pStyle w:val="TableContents"/>
              <w:bidi w:val="0"/>
              <w:spacing w:before="0" w:after="283"/>
              <w:jc w:val="right"/>
              <w:rPr/>
            </w:pPr>
            <w:r>
              <w:rPr/>
              <w:t>24.5</w:t>
            </w:r>
          </w:p>
        </w:tc>
        <w:tc>
          <w:tcPr>
            <w:tcW w:w="281" w:type="dxa"/>
            <w:tcBorders/>
            <w:shd w:fill="CCEEFF" w:val="clear"/>
            <w:vAlign w:val="bottom"/>
          </w:tcPr>
          <w:p>
            <w:pPr>
              <w:pStyle w:val="TableContents"/>
              <w:bidi w:val="0"/>
              <w:spacing w:before="0" w:after="283"/>
              <w:jc w:val="left"/>
              <w:rPr/>
            </w:pPr>
            <w:r>
              <w:rPr/>
              <w:t>% </w:t>
            </w:r>
          </w:p>
        </w:tc>
      </w:tr>
      <w:tr>
        <w:trPr/>
        <w:tc>
          <w:tcPr>
            <w:tcW w:w="3122"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080"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0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90"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comparative purposes, references in the explanations below to 2024 reflect the year ended December 31, 2024. References to 2023 reflect the year ended December 31, 2023. </w:t>
      </w:r>
    </w:p>
    <w:p>
      <w:pPr>
        <w:pStyle w:val="TextBody"/>
        <w:bidi w:val="0"/>
        <w:spacing w:before="24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Revenues for 2024 and 2023 were $640.9 million and $573.4 million, respectively. Our weighted-average active operating fleet for 2024 and 2023 was 50.0 and 43.4 vessels, respectively. For 2024, we had a weighted-average of 21.0 vessels stacked compared to a weighted-average of 22.4 vessels stacked in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Vessel revenues for 2024 and 2023 were $592.2 million and $528.8 million, respectively. Revenues from our OSV fleet increased $31.5 million, or 9.2%, for 2024 compared to the prior year. OSVs acquired in 2023 that provided their first full-year contribution to revenues in 2024 and OSVs acquired in 2024 contributed $35.6 million to the year-over-year increase in revenues, partially offset by lower OSV utilization in 2024. Average OSV dayrates were $41,956 for 2024 compared to $39,297 in 2023. Our average OSV utilization rate was 41.3% for 2024 compared to 44.3% in 2023. Our OSVs incurred 790 days of aggregate downtime for regulatory drydockings and were stacked for an aggregate of 7,686 days during 2024 compared to 586 days and 7,887 days, respectively, in 2023. Excluding stacked vessel days, our active OSV utilization rate was 64.1% and 74.0% for the same periods, respectively. Our effective, or utilization-adjusted, OSV dayrates were $17,328 in 2024 compared to $17,409 in 2023. Revenues from our MPSV fleet increased $32.0 million, or 17.1%, in 2024 compared to the prior year. Average MPSV dayrates were $67,853 for 2024 compared to $62,372 for 2023. Our MPSV utilization rate was 73.4% for 2024 compared to 68.4% for 2023. Our MPSVs incurred 406 days of aggregate downtime for regulatory drydockings and were stacked for an aggregate of zero days during 2024 compared to 191 days and 310 days, respectively, in 2023. Excluding stacked vessel days, our active MPSV utilization rate was 73.4% and 73.6% during 2024 and 2023, respectively. Our effective MPSV dayrates were $49,804 for 2024 compared to $42,662 in 2023. Domestic vessel revenues for 2024 increased $41.5 million, or 10.7%, from 2023 primarily due to the addition of acquired vessels, an increase in other active vessels and improved market conditions during 2024. Foreign vessel revenues increased $22.0 million, or 15.6%, primarily due to an increase in vessels operating in Brazil, Columbia and Trinidad. Foreign vessel revenues for 2024 comprised 27.5% of our total vessel revenues compared to 26.6% for 2023. </w:t>
      </w:r>
    </w:p>
    <w:p>
      <w:pPr>
        <w:pStyle w:val="TextBody"/>
        <w:bidi w:val="0"/>
        <w:spacing w:before="240" w:after="0"/>
        <w:jc w:val="left"/>
        <w:rPr>
          <w:rFonts w:ascii="Times New Roman" w:hAnsi="Times New Roman"/>
          <w:sz w:val="20"/>
        </w:rPr>
      </w:pPr>
      <w:r>
        <w:rPr>
          <w:rFonts w:ascii="Times New Roman" w:hAnsi="Times New Roman"/>
          <w:sz w:val="20"/>
        </w:rPr>
        <w:t xml:space="preserve">Non-vessel revenues for 2024 and 2023 were $48.6 million and $44.7 million, respectively. The 8.8% year-over-year increase in non-vessel revenues during 2024 was primarily due to higher revenues earned from four vessels formerly owned by us that we now operate and maintain for the U.S. Navy. </w:t>
      </w:r>
    </w:p>
    <w:p>
      <w:pPr>
        <w:pStyle w:val="TextBody"/>
        <w:bidi w:val="0"/>
        <w:spacing w:before="240" w:after="0"/>
        <w:jc w:val="left"/>
        <w:rPr>
          <w:rFonts w:ascii="Times New Roman" w:hAnsi="Times New Roman"/>
          <w:sz w:val="20"/>
        </w:rPr>
      </w:pPr>
      <w:r>
        <w:rPr>
          <w:rFonts w:ascii="Times New Roman" w:hAnsi="Times New Roman"/>
          <w:i/>
          <w:sz w:val="20"/>
        </w:rPr>
        <w:t>Operating Expense</w:t>
      </w:r>
      <w:r>
        <w:rPr>
          <w:rFonts w:ascii="Times New Roman" w:hAnsi="Times New Roman"/>
          <w:sz w:val="20"/>
        </w:rPr>
        <w:t xml:space="preserve">. Operating expense for 2024 and 2023 was $364.6 million and $305.5 million, respectively. Acquired vessels placed in service in 2023 that provided their first full-year contribution to operating expense in 2024 and vessels acquired and placed into service in 2024 contributed $31.5 million to the increase in operating expense, while the remaining variance was due to increases in maintenance and repair costs, mariner headcount and local taxes on revenue for vessels operating in Brazil. </w:t>
      </w:r>
    </w:p>
    <w:p>
      <w:pPr>
        <w:pStyle w:val="TextBody"/>
        <w:bidi w:val="0"/>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for 2024 and 2023 was $64.5 million and $47.9 million, respectively. Depreciation increased from the prior year due to eight newly acquired vessels being placed into service since 2022. Amortization also increased as a result of 29 vessel recertification drydockings being completed since September 30, 2023. In addition, the average cost of vessel recertifications has increased since 2023.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G&amp;A expense for 2024 and 2023 was $71.1 million and $66.1 million, respectively. The year-over-year increase in G&amp;A expense was primarily attributable to an increase in shoreside employee headcount and an increase in wage rates.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expense for 2024 and 2023 was $9.4 million and $19.1 million, respectively. The stock-based compensation expense decrease from the prior year was primarily attributable to certain new long-term incentive grants of restricted stock units under the 2020 Management Incentive Plan that were issued in the first quarter of 2023, one-half of which immediately vested on the grant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Operating Income</w:t>
      </w:r>
      <w:r>
        <w:rPr>
          <w:rFonts w:ascii="Times New Roman" w:hAnsi="Times New Roman"/>
          <w:sz w:val="20"/>
        </w:rPr>
        <w:t xml:space="preserve">. Operating income for 2024 and 2023 was $131.3 million and $137.6 million, respectively. Operating income decreased by $6.4 million, or 4.6%, for the reasons discussed above, but primarily due to increased vessel recertifications and incremental operating expense. Operating income as a percentage of revenues was 20.5% for 2024 and 24.0% for 2023. </w:t>
      </w:r>
    </w:p>
    <w:p>
      <w:pPr>
        <w:pStyle w:val="TextBody"/>
        <w:bidi w:val="0"/>
        <w:spacing w:before="240" w:after="0"/>
        <w:jc w:val="left"/>
        <w:rPr>
          <w:rFonts w:ascii="Times New Roman" w:hAnsi="Times New Roman"/>
          <w:sz w:val="20"/>
        </w:rPr>
      </w:pPr>
      <w:r>
        <w:rPr>
          <w:rFonts w:ascii="Times New Roman" w:hAnsi="Times New Roman"/>
          <w:i/>
          <w:sz w:val="20"/>
        </w:rPr>
        <w:t>Postponed Offering Costs</w:t>
      </w:r>
      <w:r>
        <w:rPr>
          <w:rFonts w:ascii="Times New Roman" w:hAnsi="Times New Roman"/>
          <w:sz w:val="20"/>
        </w:rPr>
        <w:t xml:space="preserve">. Postponed offering costs for 2024 and 2023 were $9.1 million and $3.7 million, respectively. These non-recurring charges relate to previously deferred costs associated with a postponed initial public equity offering process in 2024 and a terminated senior debt offering to refinance all of our then-outstanding debt in 2023. </w:t>
      </w:r>
    </w:p>
    <w:p>
      <w:pPr>
        <w:pStyle w:val="TextBody"/>
        <w:bidi w:val="0"/>
        <w:spacing w:before="240" w:after="0"/>
        <w:jc w:val="left"/>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for 2024 and 2023 was $26.4 million and $39.8 million, respectively. Interest expense decreased primarily due to the contractual conversion of our Second Lien Term Loans due 2026 to full cash-pay obligations with a lower annual interest rate of 8.25% on September 4, 2023 and the $68.7 million pay-off of the remaining principal balance of our Replacement First Lien Term Loans in August 2023. In addition, we capitalized $3.0 million more of interest in 2024 compared to 2023. </w:t>
      </w:r>
    </w:p>
    <w:p>
      <w:pPr>
        <w:pStyle w:val="TextBody"/>
        <w:bidi w:val="0"/>
        <w:spacing w:before="24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for 2024 and 2023 was $5.8 million and $9.8 million, respectively. Our average cash balance decreased to $102.4 million during 2024 compared to $213.2 million for 2023. The average interest rate earned on our invested cash balances was 7.4% and 4.5% for 2024 and 2023, respectively. The decrease in average cash balance was primarily due to new vessels acquired under the ECO Acquisitions and the repayment in full of our Replacement First Lien Term Loans in August 2023. The increase in the average interest rate is due to market increases in bank interest rates earned on invested cash balances. </w:t>
      </w:r>
    </w:p>
    <w:p>
      <w:pPr>
        <w:pStyle w:val="TextBody"/>
        <w:bidi w:val="0"/>
        <w:spacing w:before="240" w:after="0"/>
        <w:jc w:val="left"/>
        <w:rPr>
          <w:rFonts w:ascii="Times New Roman" w:hAnsi="Times New Roman"/>
          <w:sz w:val="20"/>
        </w:rPr>
      </w:pPr>
      <w:r>
        <w:rPr>
          <w:rFonts w:ascii="Times New Roman" w:hAnsi="Times New Roman"/>
          <w:i/>
          <w:sz w:val="20"/>
        </w:rPr>
        <w:t>Fair Value Adjustment of Liability-Classified Warrants</w:t>
      </w:r>
      <w:r>
        <w:rPr>
          <w:rFonts w:ascii="Times New Roman" w:hAnsi="Times New Roman"/>
          <w:sz w:val="20"/>
        </w:rPr>
        <w:t xml:space="preserve">. Fair value adjustment of liability-classified warrants for 2024 and 2023 was a $5.4 million gain and a $10.9 million loss, respectively. Based on an ASC 718 valuation analysis, the estimated fair value of the outstanding Creditor Warrants decreased by $3.39, or 7.2%, per warrant in 2024. In December 2024, following an amendment to the Creditor Warrant Agreement, all liability-classified warrants were reclassified to stockholders’ equity at their estimated fair value and will be accounted for at such value prospectively. </w:t>
      </w:r>
    </w:p>
    <w:p>
      <w:pPr>
        <w:pStyle w:val="TextBody"/>
        <w:bidi w:val="0"/>
        <w:spacing w:before="240" w:after="0"/>
        <w:jc w:val="left"/>
        <w:rPr>
          <w:rFonts w:ascii="Times New Roman" w:hAnsi="Times New Roman"/>
          <w:sz w:val="20"/>
        </w:rPr>
      </w:pPr>
      <w:r>
        <w:rPr>
          <w:rFonts w:ascii="Times New Roman" w:hAnsi="Times New Roman"/>
          <w:i/>
          <w:sz w:val="20"/>
        </w:rPr>
        <w:t>Income Tax Expense</w:t>
      </w:r>
      <w:r>
        <w:rPr>
          <w:rFonts w:ascii="Times New Roman" w:hAnsi="Times New Roman"/>
          <w:sz w:val="20"/>
        </w:rPr>
        <w:t xml:space="preserve">. Our effective income tax expense rate was 12.0% and 18.1% for 2024 and 2023, respectively. 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income tax rate from period to period. The 2024 rate is lower than 2023 due to higher current foreign taxes in the prior year resulting from a higher proportion of earnings in foreign jurisdictions, while the related foreign tax credits are being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Year Ended December 31, 2023 Compared to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Summarized financial information for the years ended December 31, 2023 and 2022, respectively, is shown below in the following table (in thousands, except % change):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3568"/>
        <w:gridCol w:w="171"/>
        <w:gridCol w:w="140"/>
        <w:gridCol w:w="829"/>
        <w:gridCol w:w="161"/>
        <w:gridCol w:w="123"/>
        <w:gridCol w:w="140"/>
        <w:gridCol w:w="829"/>
        <w:gridCol w:w="161"/>
        <w:gridCol w:w="123"/>
        <w:gridCol w:w="140"/>
        <w:gridCol w:w="828"/>
        <w:gridCol w:w="161"/>
        <w:gridCol w:w="123"/>
        <w:gridCol w:w="60"/>
        <w:gridCol w:w="755"/>
        <w:gridCol w:w="362"/>
      </w:tblGrid>
      <w:tr>
        <w:trPr/>
        <w:tc>
          <w:tcPr>
            <w:tcW w:w="3568"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222"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Domestic</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387,952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317,638</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70,314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22.1</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140,828</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88,396</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52,432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59.3</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528,780</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406,034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122,746</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30.2</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44,669</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45,192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(523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(1.2</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573,449</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451,226</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122,223</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27.1</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305,463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214,788</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90,675</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42.2</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47,851</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28,940</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18,911</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65.3</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66,108</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58,946</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7,162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12.2</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19,097</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5,330</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13,767</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&gt; 100.0</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438,519</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308,004</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130,515</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42.4</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2,702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21,837</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(19,135</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(87.6</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137,632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165,059</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(27,427</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(16.6</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(1,236</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(44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(1,192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&gt; 100.0</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(3,693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(3,693</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(1,559</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(198</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(1,361</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&gt; 100.0</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(39,802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(41,172</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1,370</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(3.3</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9,755</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2,832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6,923</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&gt; 100.0</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(10,917</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(41,408</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30,491</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(73.6</w:t>
            </w:r>
          </w:p>
        </w:tc>
        <w:tc>
          <w:tcPr>
            <w:tcW w:w="362"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853</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2,867</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8" w:type="dxa"/>
            <w:tcBorders/>
            <w:shd w:fill="CCEEFF" w:val="clear"/>
            <w:vAlign w:val="bottom"/>
          </w:tcPr>
          <w:p>
            <w:pPr>
              <w:pStyle w:val="TableContents"/>
              <w:bidi w:val="0"/>
              <w:spacing w:before="0" w:after="283"/>
              <w:jc w:val="right"/>
              <w:rPr/>
            </w:pPr>
            <w:r>
              <w:rPr/>
              <w:t>(2,014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(70.2</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(16,495</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(7,174</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8" w:type="dxa"/>
            <w:tcBorders/>
            <w:vAlign w:val="bottom"/>
          </w:tcPr>
          <w:p>
            <w:pPr>
              <w:pStyle w:val="TableContents"/>
              <w:bidi w:val="0"/>
              <w:spacing w:before="0" w:after="283"/>
              <w:jc w:val="right"/>
              <w:rPr/>
            </w:pPr>
            <w:r>
              <w:rPr/>
              <w:t>(9,321</w:t>
            </w:r>
          </w:p>
        </w:tc>
        <w:tc>
          <w:tcPr>
            <w:tcW w:w="161"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&gt; 100.0</w:t>
            </w:r>
          </w:p>
        </w:tc>
        <w:tc>
          <w:tcPr>
            <w:tcW w:w="362"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74,538</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80,762</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(6,224</w:t>
            </w:r>
          </w:p>
        </w:tc>
        <w:tc>
          <w:tcPr>
            <w:tcW w:w="161"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(7.7</w:t>
            </w:r>
          </w:p>
        </w:tc>
        <w:tc>
          <w:tcPr>
            <w:tcW w:w="362"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comparative purposes, references in the explanations below to 2023 reflect the year ended December 31, 2023. References to 2022 reflect the year ended December 31, 2022. </w:t>
      </w:r>
    </w:p>
    <w:p>
      <w:pPr>
        <w:pStyle w:val="TextBody"/>
        <w:bidi w:val="0"/>
        <w:spacing w:before="240" w:after="0"/>
        <w:jc w:val="left"/>
        <w:rPr>
          <w:rFonts w:ascii="Times New Roman" w:hAnsi="Times New Roman"/>
          <w:sz w:val="20"/>
        </w:rPr>
      </w:pPr>
      <w:r>
        <w:rPr>
          <w:rFonts w:ascii="Times New Roman" w:hAnsi="Times New Roman"/>
          <w:i/>
          <w:sz w:val="20"/>
        </w:rPr>
        <w:t>Revenues</w:t>
      </w:r>
      <w:r>
        <w:rPr>
          <w:rFonts w:ascii="Times New Roman" w:hAnsi="Times New Roman"/>
          <w:sz w:val="20"/>
        </w:rPr>
        <w:t xml:space="preserve">. Revenues for 2023 and 2022 were $573.4 million and $451.2 million, respectively. Our weighted-average active operating fleet for 2023 and 2022 was 43.4 and 37.1 vessels, respectively. For 2023, we had an average of 22.4 vessels stacked compared to an average of 31.9 vessels stacked in the prior year. </w:t>
      </w:r>
    </w:p>
    <w:p>
      <w:pPr>
        <w:pStyle w:val="TextBody"/>
        <w:bidi w:val="0"/>
        <w:spacing w:before="240" w:after="0"/>
        <w:jc w:val="left"/>
        <w:rPr>
          <w:rFonts w:ascii="Times New Roman" w:hAnsi="Times New Roman"/>
          <w:sz w:val="20"/>
        </w:rPr>
      </w:pPr>
      <w:r>
        <w:rPr>
          <w:rFonts w:ascii="Times New Roman" w:hAnsi="Times New Roman"/>
          <w:sz w:val="20"/>
        </w:rPr>
        <w:t xml:space="preserve">Vessel revenues for 2023 and 2022 were $528.8 million and $406.0 million, respectively. Vessels acquired since 2022 that provided their first full-year contribution to revenues in 2023 and vessels acquired in 2023 contributed $62.7 million to the year-over-year increase in revenues, while the remaining increase was primarily due to improved market conditions for our vessels. Revenues from our OSV fleet increased $88.5 million, or 34.9%, for 2023 compared to 2022. Average OSV dayrates were $39,297 for 2023 compared to $32,305 for the prior year. Our average OSV utilization rate was 44.3% for 2023 compared to 37.7% for 2022. Our OSVs incurred 586 days of aggregate downtime for regulatory drydockings and were stacked for an aggregate of 7,887 days during 2023 compared to 332 days and 11,074 days, respectively, during 2022. Excluding stacked vessel days, our active OSV utilization rate was 74.0% and 80.7% for the same periods, respectively. Revenues from our MPSV fleet increased $34.2 million, or 22.4%, for 2023 compared to 2022. Average MPSV dayrates were $62,372 for 2023 compared to $53,421 for 2022. Our MPSV utilization rate was 68.4% for 2023 compared to 65.2% for 2022. Our MPSVs incurred 191 days of aggregate downtime for regulatory drydockings and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stacked for an aggregate of 310 days during 2023 compared to 200 days and 569 days, respectively, during 2022. Excluding stacked vessel days, our active MPSV utilization rate was 73.6% and 75.0% during 2023 and 2022, respectively. Domestic vessel revenues increased $70.3 million, or 22.1%, from 2022 primarily due to an increase in active vessels and improved market conditions for our vessels operating in the U.S. GoA. Foreign vessel revenues increased $52.4 million, or 59.3%, due to improved market conditions for vessels operating in Mexico during the first nine months of 2023 and in Brazil during the full year 2023. Foreign vessel revenues for 2023 comprised 26.6% of our total vessel revenues compared to 21.8% for 2022. </w:t>
      </w:r>
    </w:p>
    <w:p>
      <w:pPr>
        <w:pStyle w:val="TextBody"/>
        <w:bidi w:val="0"/>
        <w:spacing w:before="240" w:after="0"/>
        <w:jc w:val="left"/>
        <w:rPr>
          <w:rFonts w:ascii="Times New Roman" w:hAnsi="Times New Roman"/>
          <w:sz w:val="20"/>
        </w:rPr>
      </w:pPr>
      <w:r>
        <w:rPr>
          <w:rFonts w:ascii="Times New Roman" w:hAnsi="Times New Roman"/>
          <w:sz w:val="20"/>
        </w:rPr>
        <w:t xml:space="preserve">Non-vessel revenues for 2023 and 2022 were $44.7 million and $45.2 million, respectively. The 1.2% year-over-year decrease in non-vessel revenues was primarily due to lower revenues earned from non-military vessel management services during 2023 compared to the prior year. Our non-vessel revenues primarily include our O&amp;M contract with the U.S. Navy, revenues from our HOS Port facilities, and other vessel management services. </w:t>
      </w:r>
    </w:p>
    <w:p>
      <w:pPr>
        <w:pStyle w:val="TextBody"/>
        <w:bidi w:val="0"/>
        <w:spacing w:before="240" w:after="0"/>
        <w:jc w:val="left"/>
        <w:rPr>
          <w:rFonts w:ascii="Times New Roman" w:hAnsi="Times New Roman"/>
          <w:sz w:val="20"/>
        </w:rPr>
      </w:pPr>
      <w:r>
        <w:rPr>
          <w:rFonts w:ascii="Times New Roman" w:hAnsi="Times New Roman"/>
          <w:i/>
          <w:sz w:val="20"/>
        </w:rPr>
        <w:t>Operating Expense</w:t>
      </w:r>
      <w:r>
        <w:rPr>
          <w:rFonts w:ascii="Times New Roman" w:hAnsi="Times New Roman"/>
          <w:sz w:val="20"/>
        </w:rPr>
        <w:t xml:space="preserve">. Operating expense for 2023 and 2022 was $305.5 million and $214.8 million, respectively. Vessels acquired in 2022 that provided their first full-year contribution to operating expense in 2023 and vessels acquired in 2023 contributed $52.1 million to the year-over-year increase in operating expense, while the remaining variance was due to increases in domestic mariner wages, vessel recertifications and related maintenance and repair costs and contract-specific costs of sales to meet customer charter requirements, which were ultimately recovered through the agreed upon charter dayrate. </w:t>
      </w:r>
    </w:p>
    <w:p>
      <w:pPr>
        <w:pStyle w:val="TextBody"/>
        <w:bidi w:val="0"/>
        <w:spacing w:before="240" w:after="0"/>
        <w:jc w:val="left"/>
        <w:rPr>
          <w:rFonts w:ascii="Times New Roman" w:hAnsi="Times New Roman"/>
          <w:sz w:val="20"/>
        </w:rPr>
      </w:pPr>
      <w:r>
        <w:rPr>
          <w:rFonts w:ascii="Times New Roman" w:hAnsi="Times New Roman"/>
          <w:i/>
          <w:sz w:val="20"/>
        </w:rPr>
        <w:t>Depreciation and Amortization</w:t>
      </w:r>
      <w:r>
        <w:rPr>
          <w:rFonts w:ascii="Times New Roman" w:hAnsi="Times New Roman"/>
          <w:sz w:val="20"/>
        </w:rPr>
        <w:t xml:space="preserve">. Depreciation and amortization for 2023 and 2022 was $47.9 million and $28.9 million, respectively. Depreciation increased from the prior year due to nine newly acquired vessels being placed into service in or subsequent to the second quarter of 2022. Amortization also increased as a result of 21 vessel recertification drydockings being completed since September 30, 2022. </w:t>
      </w:r>
    </w:p>
    <w:p>
      <w:pPr>
        <w:pStyle w:val="TextBody"/>
        <w:bidi w:val="0"/>
        <w:spacing w:before="240" w:after="0"/>
        <w:jc w:val="left"/>
        <w:rPr>
          <w:rFonts w:ascii="Times New Roman" w:hAnsi="Times New Roman"/>
          <w:sz w:val="20"/>
        </w:rPr>
      </w:pPr>
      <w:r>
        <w:rPr>
          <w:rFonts w:ascii="Times New Roman" w:hAnsi="Times New Roman"/>
          <w:i/>
          <w:sz w:val="20"/>
        </w:rPr>
        <w:t>General and Administrative Expense</w:t>
      </w:r>
      <w:r>
        <w:rPr>
          <w:rFonts w:ascii="Times New Roman" w:hAnsi="Times New Roman"/>
          <w:sz w:val="20"/>
        </w:rPr>
        <w:t xml:space="preserve">. G&amp;A expense for 2023 and 2022 was $66.1 million and $58.9 million, respectively. The year-over-year increase in G&amp;A expense was primarily attributable to an increase in shoreside employee headcount and wages and related benefits.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expense for 2023 and 2022 was $19.1 million and $5.3 million, respectively. The stock-based compensation expense increase from the prior year was primarily attributable to certain long-term incentive grants of restricted stock units under the 2020 Management Incentive Plan that were issued in the first quarter of 2023, one-half of which immediately vested on the grant date. </w:t>
      </w:r>
    </w:p>
    <w:p>
      <w:pPr>
        <w:pStyle w:val="TextBody"/>
        <w:bidi w:val="0"/>
        <w:spacing w:before="240" w:after="0"/>
        <w:jc w:val="left"/>
        <w:rPr>
          <w:rFonts w:ascii="Times New Roman" w:hAnsi="Times New Roman"/>
          <w:sz w:val="20"/>
        </w:rPr>
      </w:pPr>
      <w:r>
        <w:rPr>
          <w:rFonts w:ascii="Times New Roman" w:hAnsi="Times New Roman"/>
          <w:i/>
          <w:sz w:val="20"/>
        </w:rPr>
        <w:t>Operating Income</w:t>
      </w:r>
      <w:r>
        <w:rPr>
          <w:rFonts w:ascii="Times New Roman" w:hAnsi="Times New Roman"/>
          <w:sz w:val="20"/>
        </w:rPr>
        <w:t xml:space="preserve">. Operating income for 2023 and 2022 was $137.6 million and $165.1 million, respectively. Operating income decreased by $27.4 million, or 16.6%, during the current-year period compared to the prior-year period for the reasons discussed above, but primarily due to the increase in operating expense from newly acquired vessels. Operating income as a percentage of revenues was 24.0% for 2023 and 36.6% for 2022. </w:t>
      </w:r>
    </w:p>
    <w:p>
      <w:pPr>
        <w:pStyle w:val="TextBody"/>
        <w:bidi w:val="0"/>
        <w:spacing w:before="240" w:after="0"/>
        <w:jc w:val="left"/>
        <w:rPr>
          <w:rFonts w:ascii="Times New Roman" w:hAnsi="Times New Roman"/>
          <w:sz w:val="20"/>
        </w:rPr>
      </w:pPr>
      <w:r>
        <w:rPr>
          <w:rFonts w:ascii="Times New Roman" w:hAnsi="Times New Roman"/>
          <w:i/>
          <w:sz w:val="20"/>
        </w:rPr>
        <w:t>Postponed Offering Costs</w:t>
      </w:r>
      <w:r>
        <w:rPr>
          <w:rFonts w:ascii="Times New Roman" w:hAnsi="Times New Roman"/>
          <w:sz w:val="20"/>
        </w:rPr>
        <w:t xml:space="preserve">. Postponed offering costs for 2023 and 2022 were $(3.7) million and $0.0 million, respectively. These non-recurring charges relate to previously deferred costs associated with a terminated senior debt offering to refinance all of our then-outstanding debt in 2023. </w:t>
      </w:r>
    </w:p>
    <w:p>
      <w:pPr>
        <w:pStyle w:val="TextBody"/>
        <w:bidi w:val="0"/>
        <w:spacing w:before="240" w:after="0"/>
        <w:jc w:val="left"/>
        <w:rPr>
          <w:rFonts w:ascii="Times New Roman" w:hAnsi="Times New Roman"/>
          <w:sz w:val="20"/>
        </w:rPr>
      </w:pPr>
      <w:r>
        <w:rPr>
          <w:rFonts w:ascii="Times New Roman" w:hAnsi="Times New Roman"/>
          <w:i/>
          <w:sz w:val="20"/>
        </w:rPr>
        <w:t>Interest Expense</w:t>
      </w:r>
      <w:r>
        <w:rPr>
          <w:rFonts w:ascii="Times New Roman" w:hAnsi="Times New Roman"/>
          <w:sz w:val="20"/>
        </w:rPr>
        <w:t xml:space="preserve">. Interest expense for 2023 and 2022 was $39.8 million and $41.2 million, respectively. The decrease in interest expense was primarily attributable to electing to pay cash interest only in the second quarter of 2023 for the Second Lien Term Loans due 2026, which reduced our interest rate on that debt instrument from 11.5% to 10.25%. In addition, effective September 4, 2023, the Second Lien Term Loans due 2026 contractually converted to full cash-pay obligations with an annual interest rate of 8.25%. The decrease in interest expense is also related to the $68.7 million pay-off of the remaining principal balance of the Replacement First Lien Term Loans in August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Interest Income</w:t>
      </w:r>
      <w:r>
        <w:rPr>
          <w:rFonts w:ascii="Times New Roman" w:hAnsi="Times New Roman"/>
          <w:sz w:val="20"/>
        </w:rPr>
        <w:t xml:space="preserve">. Interest income for 2023 and 2022 was $9.8 million and $2.8 million, respectively. Our average cash balance increased to $213.2 million during 2023 compared to $167.8 million for 2022. The average interest rate earned on our invested cash balances was 4.5% and 1.7% in 2023 and 2022, respectively. The increase in average cash balance was primarily due to improved operating results and net cash proceeds received during the fourth quarter of 2022 from the delayed draw that was funded under the Replacement First Lien Term Loans. The increase in the average interest rate is due to market increases in bank interest rates earned on invested cash balances. </w:t>
      </w:r>
    </w:p>
    <w:p>
      <w:pPr>
        <w:pStyle w:val="TextBody"/>
        <w:bidi w:val="0"/>
        <w:spacing w:before="240" w:after="0"/>
        <w:jc w:val="left"/>
        <w:rPr>
          <w:rFonts w:ascii="Times New Roman" w:hAnsi="Times New Roman"/>
          <w:sz w:val="20"/>
        </w:rPr>
      </w:pPr>
      <w:r>
        <w:rPr>
          <w:rFonts w:ascii="Times New Roman" w:hAnsi="Times New Roman"/>
          <w:i/>
          <w:sz w:val="20"/>
        </w:rPr>
        <w:t>Fair Value Adjustment of Liability-Classified Warrants</w:t>
      </w:r>
      <w:r>
        <w:rPr>
          <w:rFonts w:ascii="Times New Roman" w:hAnsi="Times New Roman"/>
          <w:sz w:val="20"/>
        </w:rPr>
        <w:t xml:space="preserve">. Fair value adjustment of liability-classified warrants for 2023 and 2022 was a $10.9 million loss and $41.4 million loss, respectively. Creditor Warrants (warrants entitling holders to purchase common stock at a strike price set at an enterprise value of $621.2 million, or $27.83 per share) were issued on September 4, 2020, and we have since recorded a quarterly mark-to-market adjustment beginning with the quarter ended December 30, 2020. Prior to the issuance of these Creditor Warrants, we did not have any issued or outstanding liability-classified warrants. Based on an ASC 718 valuation analysis as of December 31, 2023, the estimated fair value of the outstanding Creditor Warrants increased year-over-year by $6.85, or 16.9%, per warrant. </w:t>
      </w:r>
    </w:p>
    <w:p>
      <w:pPr>
        <w:pStyle w:val="TextBody"/>
        <w:bidi w:val="0"/>
        <w:spacing w:before="240" w:after="0"/>
        <w:jc w:val="left"/>
        <w:rPr>
          <w:rFonts w:ascii="Times New Roman" w:hAnsi="Times New Roman"/>
          <w:sz w:val="20"/>
        </w:rPr>
      </w:pPr>
      <w:r>
        <w:rPr>
          <w:rFonts w:ascii="Times New Roman" w:hAnsi="Times New Roman"/>
          <w:i/>
          <w:sz w:val="20"/>
        </w:rPr>
        <w:t>Income Tax Expense</w:t>
      </w:r>
      <w:r>
        <w:rPr>
          <w:rFonts w:ascii="Times New Roman" w:hAnsi="Times New Roman"/>
          <w:sz w:val="20"/>
        </w:rPr>
        <w:t xml:space="preserve">. Our effective income tax expense rate was 18.1% and 8.2% for 2023 and 2022, respectively. Our current income tax expense reflects our current foreign tax liabilities and certain deferred tax liabilities that could not be offset with a valuation allowance. We have offset most of our deferred tax assets with a valuation allowance, as required in certain circumstances by GAAP, leading to volatility in our effective income tax rate from period to period. The 2023 rate is higher than 2022 due to increased current foreign taxes resulting from a higher proportion of earnings in foreign jurisdictions, while the related foreign tax credits are being reserved.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postponed offering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 </w:t>
      </w:r>
    </w:p>
    <w:p>
      <w:pPr>
        <w:pStyle w:val="TextBody"/>
        <w:bidi w:val="0"/>
        <w:spacing w:before="240" w:after="0"/>
        <w:jc w:val="left"/>
        <w:rPr>
          <w:rFonts w:ascii="Times New Roman" w:hAnsi="Times New Roman"/>
          <w:sz w:val="20"/>
        </w:rPr>
      </w:pPr>
      <w:r>
        <w:rPr>
          <w:rFonts w:ascii="Times New Roman" w:hAnsi="Times New Roman"/>
          <w:sz w:val="20"/>
        </w:rPr>
        <w:t xml:space="preserve">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 </w:t>
      </w:r>
    </w:p>
    <w:p>
      <w:pPr>
        <w:pStyle w:val="TextBody"/>
        <w:bidi w:val="0"/>
        <w:spacing w:before="240" w:after="0"/>
        <w:jc w:val="left"/>
        <w:rPr>
          <w:rFonts w:ascii="Times New Roman" w:hAnsi="Times New Roman"/>
          <w:sz w:val="20"/>
        </w:rPr>
      </w:pPr>
      <w:r>
        <w:rPr>
          <w:rFonts w:ascii="Times New Roman" w:hAnsi="Times New Roman"/>
          <w:sz w:val="20"/>
        </w:rPr>
        <w:t xml:space="preserve">EBITDA, Adjusted EBITDA and Adjusted Free Cash Flow are widely used by investors and other users of our consolidated financial statements as supplemental financial measures that, when viewed with our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 </w:t>
      </w:r>
    </w:p>
    <w:p>
      <w:pPr>
        <w:pStyle w:val="TextBody"/>
        <w:bidi w:val="0"/>
        <w:spacing w:before="240" w:after="0"/>
        <w:jc w:val="left"/>
        <w:rPr>
          <w:rFonts w:ascii="Times New Roman" w:hAnsi="Times New Roman"/>
          <w:sz w:val="20"/>
        </w:rPr>
      </w:pPr>
      <w:r>
        <w:rPr>
          <w:rFonts w:ascii="Times New Roman" w:hAnsi="Times New Roman"/>
          <w:sz w:val="20"/>
        </w:rPr>
        <w:t xml:space="preserve">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and existing credit facilities, future debt arrangements may require compliance with certain ratios that will likely include EBITDA or Adjusted EBITDA in the computations. Adjusted EBITDA is also currently utilized in connection with our short-term cash bonus incentive compensation programs.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reconcile cash flows provided by operating activities to EBITDA, Adjusted EBITDA and Adjusted Free Cash Flow, as we define those terms, for the nine months ended September 30, 2025 and 2024, and the years ended December 31, 2024, 2023 and 2022, respectively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1"/>
        <w:gridCol w:w="186"/>
        <w:gridCol w:w="140"/>
        <w:gridCol w:w="804"/>
        <w:gridCol w:w="155"/>
        <w:gridCol w:w="146"/>
        <w:gridCol w:w="140"/>
        <w:gridCol w:w="804"/>
        <w:gridCol w:w="155"/>
        <w:gridCol w:w="146"/>
        <w:gridCol w:w="140"/>
        <w:gridCol w:w="804"/>
        <w:gridCol w:w="155"/>
        <w:gridCol w:w="146"/>
        <w:gridCol w:w="140"/>
        <w:gridCol w:w="804"/>
        <w:gridCol w:w="155"/>
        <w:gridCol w:w="146"/>
        <w:gridCol w:w="140"/>
        <w:gridCol w:w="804"/>
        <w:gridCol w:w="164"/>
      </w:tblGrid>
      <w:tr>
        <w:trPr/>
        <w:tc>
          <w:tcPr>
            <w:tcW w:w="3931"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93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3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EBITDA Reconciliation to GAAP:</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74,375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17,150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20,810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474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38,995</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(5,190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(6,251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(9,384</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(19,097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(5,330</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(1,951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(700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(1,028</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6,336</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5,412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(10,917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(41,408</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 net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(1,236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13,022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2,702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21,837</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215,219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153,119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190,649</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168,931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155,216</w:t>
            </w:r>
          </w:p>
        </w:tc>
        <w:tc>
          <w:tcPr>
            <w:tcW w:w="164" w:type="dxa"/>
            <w:tcBorders/>
            <w:vAlign w:val="bottom"/>
          </w:tcPr>
          <w:p>
            <w:pPr>
              <w:pStyle w:val="TableContents"/>
              <w:bidi w:val="0"/>
              <w:spacing w:before="0" w:after="283"/>
              <w:jc w:val="left"/>
              <w:rPr/>
            </w:pPr>
            <w:r>
              <w:rPr/>
              <w:t> </w:t>
            </w:r>
          </w:p>
        </w:tc>
      </w:tr>
      <w:tr>
        <w:trPr/>
        <w:tc>
          <w:tcPr>
            <w:tcW w:w="3931"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 Reconciliation to GAAP:</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112,967</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47,853</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38,101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59,491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29,828</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19,114</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29,191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22,174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29,404</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32,970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8,868</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74,375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931"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8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17,150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20,810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9,311</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474</w:t>
            </w:r>
          </w:p>
        </w:tc>
        <w:tc>
          <w:tcPr>
            <w:tcW w:w="164" w:type="dxa"/>
            <w:tcBorders/>
            <w:vAlign w:val="bottom"/>
          </w:tcPr>
          <w:p>
            <w:pPr>
              <w:pStyle w:val="TableContents"/>
              <w:bidi w:val="0"/>
              <w:spacing w:before="0" w:after="283"/>
              <w:jc w:val="left"/>
              <w:rPr/>
            </w:pPr>
            <w:r>
              <w:rPr/>
              <w:t> </w:t>
            </w:r>
          </w:p>
        </w:tc>
      </w:tr>
      <w:tr>
        <w:trPr/>
        <w:tc>
          <w:tcPr>
            <w:tcW w:w="3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(257</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3940"/>
        <w:gridCol w:w="189"/>
        <w:gridCol w:w="140"/>
        <w:gridCol w:w="800"/>
        <w:gridCol w:w="155"/>
        <w:gridCol w:w="149"/>
        <w:gridCol w:w="140"/>
        <w:gridCol w:w="800"/>
        <w:gridCol w:w="155"/>
        <w:gridCol w:w="149"/>
        <w:gridCol w:w="140"/>
        <w:gridCol w:w="800"/>
        <w:gridCol w:w="155"/>
        <w:gridCol w:w="148"/>
        <w:gridCol w:w="140"/>
        <w:gridCol w:w="800"/>
        <w:gridCol w:w="155"/>
        <w:gridCol w:w="149"/>
        <w:gridCol w:w="140"/>
        <w:gridCol w:w="800"/>
        <w:gridCol w:w="161"/>
      </w:tblGrid>
      <w:tr>
        <w:trPr/>
        <w:tc>
          <w:tcPr>
            <w:tcW w:w="394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4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21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42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1" w:type="dxa"/>
            <w:tcBorders/>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23,773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1,783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(3,656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(19,166</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38,995</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(1,951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(610</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(700</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(1,028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2,832</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13,022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21,837</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9,136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3,693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224,178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157,603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209,520</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213,629</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204,830</w:t>
            </w:r>
          </w:p>
        </w:tc>
        <w:tc>
          <w:tcPr>
            <w:tcW w:w="161" w:type="dxa"/>
            <w:tcBorders/>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Free Cash Flow Reconciliation to GAAP:</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96,967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75,127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112,967</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maintenance capital improvements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(15,370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(15,775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(16,171</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(7,745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(3,758</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non-vessel capital expenditures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(7,461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(707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(753</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(1,087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(1,328</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(2,505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(722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(1,622</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(257</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other operating assets and liabilities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23,773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1,783</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(3,656</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(19,166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38,995</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(1,951</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(610</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Refinanced paid-in-kind interest</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74,375</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4,569</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2,832</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and disposal of assets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13,022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21,837</w:t>
            </w:r>
          </w:p>
        </w:tc>
        <w:tc>
          <w:tcPr>
            <w:tcW w:w="161" w:type="dxa"/>
            <w:tcBorders/>
            <w:vAlign w:val="bottom"/>
          </w:tcPr>
          <w:p>
            <w:pPr>
              <w:pStyle w:val="TableContents"/>
              <w:bidi w:val="0"/>
              <w:spacing w:before="0" w:after="283"/>
              <w:jc w:val="left"/>
              <w:rPr/>
            </w:pPr>
            <w:r>
              <w:rPr/>
              <w:t> </w:t>
            </w:r>
          </w:p>
        </w:tc>
      </w:tr>
      <w:tr>
        <w:trPr/>
        <w:tc>
          <w:tcPr>
            <w:tcW w:w="39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9,136</w:t>
            </w:r>
          </w:p>
        </w:tc>
        <w:tc>
          <w:tcPr>
            <w:tcW w:w="15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3,693</w:t>
            </w:r>
          </w:p>
        </w:tc>
        <w:tc>
          <w:tcPr>
            <w:tcW w:w="155"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3940"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110,177</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63,696</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82,891</w:t>
            </w:r>
          </w:p>
        </w:tc>
        <w:tc>
          <w:tcPr>
            <w:tcW w:w="15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132,688</w:t>
            </w:r>
          </w:p>
        </w:tc>
        <w:tc>
          <w:tcPr>
            <w:tcW w:w="155"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171,288</w:t>
            </w:r>
          </w:p>
        </w:tc>
        <w:tc>
          <w:tcPr>
            <w:tcW w:w="161" w:type="dxa"/>
            <w:tcBorders/>
            <w:vAlign w:val="bottom"/>
          </w:tcPr>
          <w:p>
            <w:pPr>
              <w:pStyle w:val="TableContents"/>
              <w:bidi w:val="0"/>
              <w:spacing w:before="0" w:after="283"/>
              <w:jc w:val="left"/>
              <w:rPr/>
            </w:pPr>
            <w:r>
              <w:rPr/>
              <w:t> </w:t>
            </w:r>
          </w:p>
        </w:tc>
      </w:tr>
      <w:tr>
        <w:trPr/>
        <w:tc>
          <w:tcPr>
            <w:tcW w:w="394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provides the detailed components of EBITDA, Adjusted EBITDA and Adjusted Free Cash Flow as we define those terms, for the nine months ended September 30, 2025 and 2024, and the years ended December 31, 2024, 2023 and 2022, respectively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0"/>
        <w:gridCol w:w="97"/>
        <w:gridCol w:w="140"/>
        <w:gridCol w:w="804"/>
        <w:gridCol w:w="60"/>
        <w:gridCol w:w="97"/>
        <w:gridCol w:w="140"/>
        <w:gridCol w:w="804"/>
        <w:gridCol w:w="157"/>
        <w:gridCol w:w="97"/>
        <w:gridCol w:w="140"/>
        <w:gridCol w:w="804"/>
        <w:gridCol w:w="157"/>
        <w:gridCol w:w="97"/>
        <w:gridCol w:w="140"/>
        <w:gridCol w:w="804"/>
        <w:gridCol w:w="59"/>
        <w:gridCol w:w="60"/>
        <w:gridCol w:w="140"/>
        <w:gridCol w:w="804"/>
        <w:gridCol w:w="104"/>
      </w:tblGrid>
      <w:tr>
        <w:trPr/>
        <w:tc>
          <w:tcPr>
            <w:tcW w:w="450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r>
      <w:tr>
        <w:trPr/>
        <w:tc>
          <w:tcPr>
            <w:tcW w:w="45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0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32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04" w:type="dxa"/>
            <w:tcBorders/>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Components of EBITDA:</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126,659</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83,109</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92,802</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74,538</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80,762</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net</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104" w:type="dxa"/>
            <w:tcBorders/>
            <w:shd w:fill="CCEEFF" w:val="clear"/>
            <w:vAlign w:val="bottom"/>
          </w:tcPr>
          <w:p>
            <w:pPr>
              <w:pStyle w:val="TableContents"/>
              <w:bidi w:val="0"/>
              <w:spacing w:before="0" w:after="283"/>
              <w:jc w:val="left"/>
              <w:rPr>
                <w:sz w:val="4"/>
                <w:szCs w:val="4"/>
              </w:rPr>
            </w:pPr>
            <w:r>
              <w:rPr>
                <w:sz w:val="4"/>
                <w:szCs w:val="4"/>
              </w:rPr>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23,594</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20,125</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26,382</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39,802</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41,172</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3,702</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4,569</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5,763</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9,755</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2,832</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 net</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19,892</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15,556</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20,619</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30,047</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38,340</w:t>
            </w:r>
          </w:p>
        </w:tc>
        <w:tc>
          <w:tcPr>
            <w:tcW w:w="104" w:type="dxa"/>
            <w:tcBorders/>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8,443</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7,495</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12,682</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16,495</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7,174</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30,016</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27,904</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37,812</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26,355</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18,601</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30,209</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19,055</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26,734</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21,496</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10,339</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215,219</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153,119</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190,649</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168,931</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155,216</w:t>
            </w:r>
          </w:p>
        </w:tc>
        <w:tc>
          <w:tcPr>
            <w:tcW w:w="104" w:type="dxa"/>
            <w:tcBorders/>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 net</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1,236</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44</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5,190</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6,251</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9,384</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19,097</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5,330</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3,702</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4,569</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5,763</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9,755</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2,832</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Fair value of liability-classified warrants</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(6,336</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(5,412</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10,917</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41,408</w:t>
            </w:r>
          </w:p>
        </w:tc>
        <w:tc>
          <w:tcPr>
            <w:tcW w:w="104" w:type="dxa"/>
            <w:tcBorders/>
            <w:vAlign w:val="bottom"/>
          </w:tcPr>
          <w:p>
            <w:pPr>
              <w:pStyle w:val="TableContents"/>
              <w:bidi w:val="0"/>
              <w:spacing w:before="0" w:after="283"/>
              <w:jc w:val="left"/>
              <w:rPr/>
            </w:pPr>
            <w:r>
              <w:rPr/>
              <w:t> </w:t>
            </w:r>
          </w:p>
        </w:tc>
      </w:tr>
      <w:tr>
        <w:trPr/>
        <w:tc>
          <w:tcPr>
            <w:tcW w:w="45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9,136</w:t>
            </w:r>
          </w:p>
        </w:tc>
        <w:tc>
          <w:tcPr>
            <w:tcW w:w="15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3,693</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— </w:t>
            </w:r>
          </w:p>
        </w:tc>
        <w:tc>
          <w:tcPr>
            <w:tcW w:w="104"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4" w:type="dxa"/>
            <w:tcBorders/>
            <w:vAlign w:val="bottom"/>
          </w:tcPr>
          <w:p>
            <w:pPr>
              <w:pStyle w:val="TableContents"/>
              <w:pBdr>
                <w:top w:val="single" w:sz="2"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r>
        <w:trPr/>
        <w:tc>
          <w:tcPr>
            <w:tcW w:w="450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224,178</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157,603</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209,520</w:t>
            </w:r>
          </w:p>
        </w:tc>
        <w:tc>
          <w:tcPr>
            <w:tcW w:w="15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213,629</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204,830</w:t>
            </w:r>
          </w:p>
        </w:tc>
        <w:tc>
          <w:tcPr>
            <w:tcW w:w="104" w:type="dxa"/>
            <w:tcBorders/>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4" w:type="dxa"/>
            <w:tcBorders/>
            <w:vAlign w:val="bottom"/>
          </w:tcPr>
          <w:p>
            <w:pPr>
              <w:pStyle w:val="TableContents"/>
              <w:pBdr>
                <w:top w:val="double" w:sz="6" w:space="1" w:color="000000"/>
              </w:pBdr>
              <w:bidi w:val="0"/>
              <w:spacing w:before="0" w:after="0"/>
              <w:jc w:val="left"/>
              <w:rPr/>
            </w:pPr>
            <w:r>
              <w:rPr/>
              <w:t> </w:t>
            </w:r>
          </w:p>
        </w:tc>
        <w:tc>
          <w:tcPr>
            <w:tcW w:w="10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4122"/>
        <w:gridCol w:w="97"/>
        <w:gridCol w:w="140"/>
        <w:gridCol w:w="845"/>
        <w:gridCol w:w="165"/>
        <w:gridCol w:w="97"/>
        <w:gridCol w:w="140"/>
        <w:gridCol w:w="812"/>
        <w:gridCol w:w="165"/>
        <w:gridCol w:w="97"/>
        <w:gridCol w:w="140"/>
        <w:gridCol w:w="758"/>
        <w:gridCol w:w="164"/>
        <w:gridCol w:w="97"/>
        <w:gridCol w:w="140"/>
        <w:gridCol w:w="845"/>
        <w:gridCol w:w="165"/>
        <w:gridCol w:w="60"/>
        <w:gridCol w:w="140"/>
        <w:gridCol w:w="845"/>
        <w:gridCol w:w="171"/>
      </w:tblGrid>
      <w:tr>
        <w:trPr/>
        <w:tc>
          <w:tcPr>
            <w:tcW w:w="4122"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r>
      <w:tr>
        <w:trPr/>
        <w:tc>
          <w:tcPr>
            <w:tcW w:w="412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219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335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71"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8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7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deferred drydocking charges(1)</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(47,853</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(38,101</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(59,491</w:t>
            </w:r>
          </w:p>
        </w:tc>
        <w:tc>
          <w:tcPr>
            <w:tcW w:w="1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(29,828</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5" w:type="dxa"/>
            <w:tcBorders/>
            <w:shd w:fill="CCEEFF" w:val="clear"/>
            <w:vAlign w:val="bottom"/>
          </w:tcPr>
          <w:p>
            <w:pPr>
              <w:pStyle w:val="TableContents"/>
              <w:bidi w:val="0"/>
              <w:spacing w:before="0" w:after="283"/>
              <w:jc w:val="right"/>
              <w:rPr/>
            </w:pPr>
            <w:r>
              <w:rPr/>
              <w:t>(19,114</w:t>
            </w:r>
          </w:p>
        </w:tc>
        <w:tc>
          <w:tcPr>
            <w:tcW w:w="171"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maintenance capital improvements(1)</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(15,370</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(15,775</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(16,171</w:t>
            </w:r>
          </w:p>
        </w:tc>
        <w:tc>
          <w:tcPr>
            <w:tcW w:w="1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(7,745</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(3,758</w:t>
            </w:r>
          </w:p>
        </w:tc>
        <w:tc>
          <w:tcPr>
            <w:tcW w:w="17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non-vessel capital expenditures(1)</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(7,461</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(707</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(753</w:t>
            </w:r>
          </w:p>
        </w:tc>
        <w:tc>
          <w:tcPr>
            <w:tcW w:w="1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(1,087</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(1,328</w:t>
            </w:r>
          </w:p>
        </w:tc>
        <w:tc>
          <w:tcPr>
            <w:tcW w:w="171" w:type="dxa"/>
            <w:tcBorders/>
            <w:shd w:fill="CCEEFF" w:val="clear"/>
            <w:vAlign w:val="bottom"/>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(29,191</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(22,174</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(29,404</w:t>
            </w:r>
          </w:p>
        </w:tc>
        <w:tc>
          <w:tcPr>
            <w:tcW w:w="1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(32,970</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(8,868</w:t>
            </w:r>
          </w:p>
        </w:tc>
        <w:tc>
          <w:tcPr>
            <w:tcW w:w="171" w:type="dxa"/>
            <w:tcBorders/>
            <w:vAlign w:val="bottom"/>
          </w:tcPr>
          <w:p>
            <w:pPr>
              <w:pStyle w:val="TableContents"/>
              <w:bidi w:val="0"/>
              <w:spacing w:before="0" w:after="283"/>
              <w:jc w:val="left"/>
              <w:rPr/>
            </w:pPr>
            <w:r>
              <w:rPr/>
              <w:t>) </w:t>
            </w:r>
          </w:p>
        </w:tc>
      </w:tr>
      <w:tr>
        <w:trPr/>
        <w:tc>
          <w:tcPr>
            <w:tcW w:w="41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(14,126</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(17,150</w:t>
            </w:r>
          </w:p>
        </w:tc>
        <w:tc>
          <w:tcPr>
            <w:tcW w:w="16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(20,810</w:t>
            </w:r>
          </w:p>
        </w:tc>
        <w:tc>
          <w:tcPr>
            <w:tcW w:w="16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(9,311</w:t>
            </w:r>
          </w:p>
        </w:tc>
        <w:tc>
          <w:tcPr>
            <w:tcW w:w="1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(474</w:t>
            </w:r>
          </w:p>
        </w:tc>
        <w:tc>
          <w:tcPr>
            <w:tcW w:w="171" w:type="dxa"/>
            <w:tcBorders/>
            <w:shd w:fill="CCEEFF" w:val="clear"/>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5" w:type="dxa"/>
            <w:tcBorders/>
            <w:vAlign w:val="bottom"/>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4122" w:type="dxa"/>
            <w:tcBorders/>
          </w:tcPr>
          <w:p>
            <w:pPr>
              <w:pStyle w:val="TableContents"/>
              <w:bidi w:val="0"/>
              <w:spacing w:before="0" w:after="0"/>
              <w:jc w:val="left"/>
              <w:rPr>
                <w:rFonts w:ascii="Times New Roman" w:hAnsi="Times New Roman"/>
                <w:sz w:val="20"/>
              </w:rPr>
            </w:pPr>
            <w:r>
              <w:rPr>
                <w:rFonts w:ascii="Times New Roman" w:hAnsi="Times New Roman"/>
                <w:sz w:val="20"/>
              </w:rPr>
              <w:t>Adjusted Free Cash Flow</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110,177</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2" w:type="dxa"/>
            <w:tcBorders/>
            <w:vAlign w:val="bottom"/>
          </w:tcPr>
          <w:p>
            <w:pPr>
              <w:pStyle w:val="TableContents"/>
              <w:bidi w:val="0"/>
              <w:spacing w:before="0" w:after="283"/>
              <w:jc w:val="right"/>
              <w:rPr/>
            </w:pPr>
            <w:r>
              <w:rPr/>
              <w:t>63,696</w:t>
            </w:r>
          </w:p>
        </w:tc>
        <w:tc>
          <w:tcPr>
            <w:tcW w:w="16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82,891</w:t>
            </w:r>
          </w:p>
        </w:tc>
        <w:tc>
          <w:tcPr>
            <w:tcW w:w="16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132,688</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171,288</w:t>
            </w:r>
          </w:p>
        </w:tc>
        <w:tc>
          <w:tcPr>
            <w:tcW w:w="171" w:type="dxa"/>
            <w:tcBorders/>
            <w:vAlign w:val="bottom"/>
          </w:tcPr>
          <w:p>
            <w:pPr>
              <w:pStyle w:val="TableContents"/>
              <w:bidi w:val="0"/>
              <w:spacing w:before="0" w:after="283"/>
              <w:jc w:val="left"/>
              <w:rPr/>
            </w:pPr>
            <w:r>
              <w:rPr/>
              <w:t> </w:t>
            </w:r>
          </w:p>
        </w:tc>
      </w:tr>
      <w:tr>
        <w:trPr/>
        <w:tc>
          <w:tcPr>
            <w:tcW w:w="4122"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5" w:type="dxa"/>
            <w:tcBorders/>
            <w:vAlign w:val="bottom"/>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additional information concerning these items, see “—Liquidity and Capital Resources—Capital Expenditures and Related Commitments.”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Set forth below are the material limitations associated with using EBITDA, Adjusted EBITDA and Adjusted Free Cash Flow as non-GAAP financial measures compared to cash flows provided by operating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future capital expenditure requirements that may be necessary to replace our existing vessels upon expiration of their useful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interest, future principal payments and other financing-related charges necessary to service the debt that we have incurred in acquiring and constructing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the deferred income taxes that we will eventually have to pay once we are no longer in an overall NOL carryforward position, as applicable;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Adjusted EBITDA and Adjusted Free Cash Flow do not reflect changes in our net working capital position.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Management compensates for the above-described limitations in using EBITDA, Adjusted EBITDA and Adjusted Free Cash Flow as non-GAAP financial measures by only using EBITDA, Adjusted EBITDA and Adjusted Free Cash Flow to supplement our GAAP results.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Our capital requirements have historically been financed with cash flows from operations, proceeds from issuances of our debt and common equity securities, borrowings under our revolving credit and term loan agreements and cash received from the sale of assets. We require capital to fund on-going operations, discretionary ongoing vessel-modification projects, vessel recertifications, discretionary capital expenditures and debt service and may require capital to fund potential future vessel construction, retrofit or conversion projects, acquisitions, dividends, equity repurchases or the retirement of debt. We believe that existing cash and cash equivalents, available borrowing capacity under our undrawn First Lien Revolving Credit Facility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 We believe that existing cash and cash equivalents, available borrowing capacity under our undrawn First Lien Revolving Credit Facility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 </w:t>
      </w:r>
    </w:p>
    <w:p>
      <w:pPr>
        <w:pStyle w:val="TextBody"/>
        <w:bidi w:val="0"/>
        <w:spacing w:before="240" w:after="0"/>
        <w:jc w:val="left"/>
        <w:rPr>
          <w:rFonts w:ascii="Times New Roman" w:hAnsi="Times New Roman"/>
          <w:sz w:val="20"/>
        </w:rPr>
      </w:pPr>
      <w:r>
        <w:rPr>
          <w:rFonts w:ascii="Times New Roman" w:hAnsi="Times New Roman"/>
          <w:sz w:val="20"/>
        </w:rPr>
        <w:t xml:space="preserve">As of and for the nine months ended September 30, 2025, we were in compliance with all applicable financial covenants under the First Lien Credit Agreement and Second Lien Credit Agreement. There were no revolving loan amounts outstanding under the First Lien Revolving Credit Facility as of such date and we expect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facility to remain undrawn for the foreseeable future. As of September 30, 2025 and December 31, 2024, we had total cash and cash equivalents of $97.8 million and $80.8 million, respectively, and restricted cash of $0.0 million and $0.8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Years Ended December 31, 2024,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our cash flows for the years ended December 31, 2024, 2023 and 2022. </w:t>
      </w:r>
    </w:p>
    <w:p>
      <w:pPr>
        <w:pStyle w:val="TextBody"/>
        <w:bidi w:val="0"/>
        <w:spacing w:before="240" w:after="0"/>
        <w:jc w:val="left"/>
        <w:rPr>
          <w:rFonts w:ascii="Times New Roman" w:hAnsi="Times New Roman"/>
          <w:sz w:val="20"/>
        </w:rPr>
      </w:pPr>
      <w:r>
        <w:rPr>
          <w:rFonts w:ascii="Times New Roman" w:hAnsi="Times New Roman"/>
          <w:i/>
          <w:sz w:val="20"/>
        </w:rPr>
        <w:t>Operating Activities</w:t>
      </w:r>
      <w:r>
        <w:rPr>
          <w:rFonts w:ascii="Times New Roman" w:hAnsi="Times New Roman"/>
          <w:sz w:val="20"/>
        </w:rPr>
        <w:t xml:space="preserve">. We rely primarily on cash flows from operations to provide working capital for current and future operations, to fund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$16.5 million, $146.1 million and $113.0 million for the years ended December 31, 2024, 2023 and 2022, respectively. Operating cash flows for the years ended December 31, 2024, 2023 and 2022 were favorably affected by improved market conditions for our vessels. The $33.1 million growth in net cash provided by operating activities in 2023 was primarily the result of a substantial increase in cash receipts from customers driven by a 30.2% increase in vessel revenues due to higher average dayrates and active fleet count for our OSVs and MPSVs, including the effects of recent vessel acquisitions. Operating cash flows for 2024 were unfavorably affected by the refinancing of $74.4 million of accumulated PIK interest included in the principal balance of the Second Lien Term Loans due 2026, an increase in operating expense from newly acquired vessels, deferred drydocking charges from vessel recertifications and postponed offering costs. </w:t>
      </w:r>
    </w:p>
    <w:p>
      <w:pPr>
        <w:pStyle w:val="TextBody"/>
        <w:bidi w:val="0"/>
        <w:spacing w:before="240" w:after="0"/>
        <w:jc w:val="left"/>
        <w:rPr>
          <w:rFonts w:ascii="Times New Roman" w:hAnsi="Times New Roman"/>
          <w:sz w:val="20"/>
        </w:rPr>
      </w:pPr>
      <w:r>
        <w:rPr>
          <w:rFonts w:ascii="Times New Roman" w:hAnsi="Times New Roman"/>
          <w:i/>
          <w:sz w:val="20"/>
        </w:rPr>
        <w:t>Investing Activities</w:t>
      </w:r>
      <w:r>
        <w:rPr>
          <w:rFonts w:ascii="Times New Roman" w:hAnsi="Times New Roman"/>
          <w:sz w:val="20"/>
        </w:rPr>
        <w:t xml:space="preserve">. Net cash used in investing activities was $120.0 million, $168.3 million and $109.2 million for 2024, 2023 and 2022, respectively. Net cash used during 2024 was primarily attributable to the purchase of the final vessel delivered from ECO Acquisitions #2, costs related to the conversion of one OSV into a SOV/flotel, costs related to the construction of the two MPSV newbuilds and maintenance capital improvements for active vessels. Net cash used during 2023 and 2022 was primarily attributable to vessel acquisitions, partially offset by proceeds from vessel sales. </w:t>
      </w:r>
    </w:p>
    <w:p>
      <w:pPr>
        <w:pStyle w:val="TextBody"/>
        <w:bidi w:val="0"/>
        <w:spacing w:before="240" w:after="0"/>
        <w:jc w:val="left"/>
        <w:rPr>
          <w:rFonts w:ascii="Times New Roman" w:hAnsi="Times New Roman"/>
          <w:sz w:val="20"/>
        </w:rPr>
      </w:pPr>
      <w:r>
        <w:rPr>
          <w:rFonts w:ascii="Times New Roman" w:hAnsi="Times New Roman"/>
          <w:i/>
          <w:sz w:val="20"/>
        </w:rPr>
        <w:t>Financing Activities</w:t>
      </w:r>
      <w:r>
        <w:rPr>
          <w:rFonts w:ascii="Times New Roman" w:hAnsi="Times New Roman"/>
          <w:sz w:val="20"/>
        </w:rPr>
        <w:t xml:space="preserve">. Net cash provided by (used in) financing activities was $68.3 million, $(76.0) million and $32.9 million for 2024, 2023 and 2022, respectively. Cash provided by financing activities in 2024 was primarily attributable to proceeds from the Second Lien Term Loans due 2033 offset by the repayment of the Second Lien Term Loans due 2026, the repurchase of common stock and outstanding stock-based compensation awards, payments for deferred issuance costs related to the First Lien Revolving Credit Facility due 2029 and Second Lien Term Loans due 2033, and employee taxes related to shares withheld from vested and net-share-settled restricted stock unit awards. Cash used in financing activities for 2023 was primarily attributable to the payoff of the remaining principal balance of the Replacement First Lien Term Loans in the third quarter of 2023. Net cash provided by financing activities for the year ended December 31, 2022 primarily resulted from the proceeds received from the delayed draw term loans that were funded under the Replacement First Lien Term Loans, partially offset by a partial repayment of the Replacement First Lien Term Loans.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for the Nine Months Ended September 30,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summarizes our cash flows for the nine months ended September 30, 2025 and 2024. </w:t>
      </w:r>
    </w:p>
    <w:p>
      <w:pPr>
        <w:pStyle w:val="TextBody"/>
        <w:bidi w:val="0"/>
        <w:spacing w:before="240" w:after="0"/>
        <w:jc w:val="left"/>
        <w:rPr>
          <w:rFonts w:ascii="Times New Roman" w:hAnsi="Times New Roman"/>
          <w:sz w:val="20"/>
        </w:rPr>
      </w:pPr>
      <w:r>
        <w:rPr>
          <w:rFonts w:ascii="Times New Roman" w:hAnsi="Times New Roman"/>
          <w:i/>
          <w:sz w:val="20"/>
        </w:rPr>
        <w:t>Operating Activities</w:t>
      </w:r>
      <w:r>
        <w:rPr>
          <w:rFonts w:ascii="Times New Roman" w:hAnsi="Times New Roman"/>
          <w:sz w:val="20"/>
        </w:rPr>
        <w:t xml:space="preserve">. We rely primarily on cash flows from operations to provide working capital for current and future operations, to fund payroll 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$97.0 million and $75.1 million for the nine months ended September 30, 2025 and 2024, respectively. Operating cash flows for the first nine months of 2025 were favorably affected by an increase in vessel revenues.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Investing Activities</w:t>
      </w:r>
      <w:r>
        <w:rPr>
          <w:rFonts w:ascii="Times New Roman" w:hAnsi="Times New Roman"/>
          <w:sz w:val="20"/>
        </w:rPr>
        <w:t xml:space="preserve">. Net cash used in investing activities was $78.2 million and $85.3 million for the nine months ended September 30, 2025 and 2024, respectively. Cash used in investing activities was primarily attributable to costs related to the conversion of one OSV into a SOV/flotel, the construction of the two MPSV newbuilds, as well as maintenance and commercial capital improvements for active vessels, partially offset by net proceeds from the sale of one U.S.-flagged, HOS 265 class DP-2 OSV at a substantial gain. </w:t>
      </w:r>
    </w:p>
    <w:p>
      <w:pPr>
        <w:pStyle w:val="TextBody"/>
        <w:bidi w:val="0"/>
        <w:spacing w:before="240" w:after="0"/>
        <w:jc w:val="left"/>
        <w:rPr>
          <w:rFonts w:ascii="Times New Roman" w:hAnsi="Times New Roman"/>
          <w:sz w:val="20"/>
        </w:rPr>
      </w:pPr>
      <w:r>
        <w:rPr>
          <w:rFonts w:ascii="Times New Roman" w:hAnsi="Times New Roman"/>
          <w:i/>
          <w:sz w:val="20"/>
        </w:rPr>
        <w:t>Financing Activities</w:t>
      </w:r>
      <w:r>
        <w:rPr>
          <w:rFonts w:ascii="Times New Roman" w:hAnsi="Times New Roman"/>
          <w:sz w:val="20"/>
        </w:rPr>
        <w:t xml:space="preserve">. Net cash used in financing activities was $4.0 million and $5.8 million for the nine months ended September 30, 2025 and 2024, respectively. Cash used in financing activities was primarily attributable to the financing costs incurred and principal payment on the Second Lien Term Loans due 2033 and tax payments made by us for employee taxes related to shares withheld from vested and net-share-settled restricted stock unit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Contracted Backlog </w:t>
      </w:r>
    </w:p>
    <w:p>
      <w:pPr>
        <w:pStyle w:val="TextBody"/>
        <w:bidi w:val="0"/>
        <w:spacing w:before="120" w:after="0"/>
        <w:jc w:val="left"/>
        <w:rPr>
          <w:rFonts w:ascii="Times New Roman" w:hAnsi="Times New Roman"/>
          <w:sz w:val="20"/>
        </w:rPr>
      </w:pPr>
      <w:r>
        <w:rPr>
          <w:rFonts w:ascii="Times New Roman" w:hAnsi="Times New Roman"/>
          <w:sz w:val="20"/>
        </w:rPr>
        <w:t xml:space="preserve">Our total contracted revenue backlog was $695.9 million as of December 31, 2025, which we calculate as the dayrates of contracted vessel days multiplied by the contracted days for such vessels.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Tender Offer, MIP Repurchases and Second Lien Debt Refinancing </w:t>
      </w:r>
    </w:p>
    <w:p>
      <w:pPr>
        <w:pStyle w:val="TextBody"/>
        <w:bidi w:val="0"/>
        <w:spacing w:before="120" w:after="0"/>
        <w:jc w:val="left"/>
        <w:rPr>
          <w:rFonts w:ascii="Times New Roman" w:hAnsi="Times New Roman"/>
          <w:i/>
          <w:sz w:val="20"/>
        </w:rPr>
      </w:pPr>
      <w:r>
        <w:rPr>
          <w:rFonts w:ascii="Times New Roman" w:hAnsi="Times New Roman"/>
          <w:i/>
          <w:sz w:val="20"/>
        </w:rPr>
        <w:t xml:space="preserve">2024 Tender Offer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2024, we commenced an offer to purchase for cash up to an aggregate purchase price of $78,200,000 of our common stock, Jones Act Warrants and Creditor Warrants at a price of $65.67 per security (less, solely with respect to tendered Creditor Warrants accepted in the offer, the applicable exercise price) (the “2024 Tender Offer”). Pursuant to the 2024 Tender Offer, 5,303,553 shares of common stock, 10,811,735 Jones Act Warrants and 956,930 Creditor Warrants were validly tendered and not withdrawn, and on December 31, 2024 we accepted for purchase 272,298 shares of common stock, 883,303 Jones Act Warrants and 62,294 Creditor Warrants, for an aggregate purchase price of approximately $78.4 million. We used a portion of the proceeds from the Second Lien Term Loans due 2033, together with cash on hand, to fund the 2024 Tender Offer and to pay fees and expenses related thereto. </w:t>
      </w:r>
    </w:p>
    <w:p>
      <w:pPr>
        <w:pStyle w:val="TextBody"/>
        <w:bidi w:val="0"/>
        <w:spacing w:before="360" w:after="0"/>
        <w:jc w:val="left"/>
        <w:rPr>
          <w:rFonts w:ascii="Times New Roman" w:hAnsi="Times New Roman"/>
          <w:i/>
          <w:sz w:val="20"/>
        </w:rPr>
      </w:pPr>
      <w:r>
        <w:rPr>
          <w:rFonts w:ascii="Times New Roman" w:hAnsi="Times New Roman"/>
          <w:i/>
          <w:sz w:val="20"/>
        </w:rPr>
        <w:t xml:space="preserve">2024 MIP Repurchases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2024, we accelerated the vesting of an aggregate of 38,273 stock options, 66,116 restricted stock units and 10,245 performance stock units, and repurchased from employees and non-employee directors the shares of common stock underlying such accelerated stock options, restricted stock units and performance stock units, as well as 2,316 shares of common stock previously issued upon settlement of stock-based compensation awards, at a price equal to $65.67 per share (less, solely with respect to such options, the applicable exercise price) for an aggregate purchase price of approximately $7.1 million (such repurchases, the “2024 MIP Repurchases”). The 2024 MIP Repurchases were not made pursuant to the 2024 Tender Offer, and were open to all employees and non-employee directors that held stock options, restricted stock units and performance stock units. We used a portion of the proceeds from the Second Lien Term Loans due 2033, together with cash on hand, to fund the 2024 MIP Repurchases.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Second Lien Debt Refinancing </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2024, we entered into the Second Lien Credit Agreement with Stonebriar Commercial Finance, LLC, as administrative agent, and Wilmington Trust, National Association, as collateral trustee, and the lenders party thereto, providing for $450.0 million of second-lien term loans with a maturity date of January 1, 2033, all of which were drawn on December 27, 2024, resulting in proceeds of $443.3 million, net of a 1.5% origination fee. We utilized such proceeds to (i) repay in full the then-outstanding $349.0 million, including accumulated paid-in-kind interest, of Second Lien Term Loans due 2026, (ii) pay $7.0 million of related accrued cash interest, (iii) pay a $5.1 million associated redemption fee, (iv) pay $0.1 million in non-lender fees and expenses, and (v) partially fund the repurchase of $78.4 million of certain equity securities and $7.1 million of outstanding stock-based compensation awards associated with the 2024 Tender Offer and the 2024 MIP Repurchases, respectively. See “—Debt Agreements” below for additional information regarding the Second Lien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Agreements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$448.3 million of outstanding principal amount of Second Lien Term Loans due 2033 that bear interest at a fixed annual interest rate of 9.25% and mature in January 2033. There were no amounts outstanding under the First Lien Revolving Credit Facility as of such date, and we expect such facility to remain undrawn for the foreseeable future. As of September 30, 2025, we had the following outstanding debt (in thousands, except effective interest rate): </w:t>
      </w:r>
    </w:p>
    <w:p>
      <w:pPr>
        <w:pStyle w:val="TextBody"/>
        <w:bidi w:val="0"/>
        <w:spacing w:before="0" w:after="0"/>
        <w:jc w:val="left"/>
        <w:rPr/>
      </w:pPr>
      <w:r>
        <w:rPr/>
        <w:t> </w:t>
      </w:r>
    </w:p>
    <w:tbl>
      <w:tblPr>
        <w:tblW w:w="4250" w:type="pct"/>
        <w:jc w:val="center"/>
        <w:tblInd w:w="0" w:type="dxa"/>
        <w:tblLayout w:type="fixed"/>
        <w:tblCellMar>
          <w:top w:w="0" w:type="dxa"/>
          <w:left w:w="0" w:type="dxa"/>
          <w:bottom w:w="0" w:type="dxa"/>
          <w:right w:w="0" w:type="dxa"/>
        </w:tblCellMar>
      </w:tblPr>
      <w:tblGrid>
        <w:gridCol w:w="1359"/>
        <w:gridCol w:w="185"/>
        <w:gridCol w:w="182"/>
        <w:gridCol w:w="1062"/>
        <w:gridCol w:w="60"/>
        <w:gridCol w:w="185"/>
        <w:gridCol w:w="174"/>
        <w:gridCol w:w="1297"/>
        <w:gridCol w:w="275"/>
        <w:gridCol w:w="128"/>
        <w:gridCol w:w="220"/>
        <w:gridCol w:w="924"/>
        <w:gridCol w:w="60"/>
        <w:gridCol w:w="185"/>
        <w:gridCol w:w="2378"/>
      </w:tblGrid>
      <w:tr>
        <w:trPr/>
        <w:tc>
          <w:tcPr>
            <w:tcW w:w="135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135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Debt(1)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Effective</w:t>
              <w:br/>
              <w:t>Interest Rate(1)</w:t>
            </w:r>
          </w:p>
        </w:tc>
        <w:tc>
          <w:tcPr>
            <w:tcW w:w="27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Interest</w:t>
              <w:br/>
              <w:t>Payments(1)(2)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378" w:type="dxa"/>
            <w:tcBorders>
              <w:bottom w:val="single" w:sz="8" w:space="0" w:color="000000"/>
            </w:tcBorders>
            <w:tcMar>
              <w:bottom w:w="28" w:type="dxa"/>
            </w:tcMar>
            <w:vAlign w:val="bottom"/>
          </w:tcPr>
          <w:p>
            <w:pPr>
              <w:pStyle w:val="TableContents"/>
              <w:bidi w:val="0"/>
              <w:spacing w:before="0" w:after="283"/>
              <w:jc w:val="center"/>
              <w:rPr>
                <w:b/>
              </w:rPr>
            </w:pPr>
            <w:r>
              <w:rPr>
                <w:b/>
              </w:rPr>
              <w:t>Payment Dates(2)</w:t>
            </w:r>
          </w:p>
        </w:tc>
      </w:tr>
      <w:tr>
        <w:trPr/>
        <w:tc>
          <w:tcPr>
            <w:tcW w:w="1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18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97"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924" w:type="dxa"/>
            <w:tcBorders/>
            <w:shd w:fill="CCEEFF" w:val="clear"/>
            <w:vAlign w:val="bottom"/>
          </w:tcPr>
          <w:p>
            <w:pPr>
              <w:pStyle w:val="TableContents"/>
              <w:bidi w:val="0"/>
              <w:spacing w:before="0" w:after="283"/>
              <w:jc w:val="right"/>
              <w:rPr/>
            </w:pPr>
            <w:r>
              <w:rPr/>
              <w:t> — 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2378" w:type="dxa"/>
            <w:tcBorders/>
            <w:shd w:fill="CCEEFF" w:val="clear"/>
            <w:vAlign w:val="bottom"/>
          </w:tcPr>
          <w:p>
            <w:pPr>
              <w:pStyle w:val="TableContents"/>
              <w:bidi w:val="0"/>
              <w:jc w:val="left"/>
              <w:rPr/>
            </w:pPr>
            <w:r>
              <w:rPr/>
              <w:t>Variable</w:t>
            </w:r>
          </w:p>
          <w:p>
            <w:pPr>
              <w:pStyle w:val="TableContents"/>
              <w:bidi w:val="0"/>
              <w:spacing w:before="0" w:after="20"/>
              <w:jc w:val="left"/>
              <w:rPr>
                <w:rFonts w:ascii="Times New Roman" w:hAnsi="Times New Roman"/>
                <w:sz w:val="20"/>
              </w:rPr>
            </w:pPr>
            <w:r>
              <w:rPr>
                <w:rFonts w:ascii="Times New Roman" w:hAnsi="Times New Roman"/>
                <w:sz w:val="20"/>
              </w:rPr>
              <w:t>(determined on date of draw)</w:t>
            </w:r>
          </w:p>
        </w:tc>
      </w:tr>
      <w:tr>
        <w:trPr/>
        <w:tc>
          <w:tcPr>
            <w:tcW w:w="1359"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 net of original issue discount of $6,044 and deferred financing costs of $1,968</w:t>
            </w:r>
          </w:p>
        </w:tc>
        <w:tc>
          <w:tcPr>
            <w:tcW w:w="18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440,314</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97" w:type="dxa"/>
            <w:tcBorders/>
            <w:vAlign w:val="bottom"/>
          </w:tcPr>
          <w:p>
            <w:pPr>
              <w:pStyle w:val="TableContents"/>
              <w:bidi w:val="0"/>
              <w:spacing w:before="0" w:after="283"/>
              <w:jc w:val="right"/>
              <w:rPr/>
            </w:pPr>
            <w:r>
              <w:rPr/>
              <w:t>9.25</w:t>
            </w:r>
          </w:p>
        </w:tc>
        <w:tc>
          <w:tcPr>
            <w:tcW w:w="275"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924" w:type="dxa"/>
            <w:tcBorders/>
            <w:vAlign w:val="bottom"/>
          </w:tcPr>
          <w:p>
            <w:pPr>
              <w:pStyle w:val="TableContents"/>
              <w:bidi w:val="0"/>
              <w:spacing w:before="0" w:after="283"/>
              <w:jc w:val="right"/>
              <w:rPr/>
            </w:pPr>
            <w:r>
              <w:rPr/>
              <w:t>3,456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2378" w:type="dxa"/>
            <w:tcBorders/>
            <w:vAlign w:val="bottom"/>
          </w:tcPr>
          <w:p>
            <w:pPr>
              <w:pStyle w:val="TableContents"/>
              <w:bidi w:val="0"/>
              <w:spacing w:before="0" w:after="283"/>
              <w:jc w:val="left"/>
              <w:rPr/>
            </w:pPr>
            <w:r>
              <w:rPr/>
              <w:t>First day of each month</w:t>
            </w:r>
          </w:p>
        </w:tc>
      </w:tr>
      <w:tr>
        <w:trPr/>
        <w:tc>
          <w:tcPr>
            <w:tcW w:w="135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single" w:sz="2" w:space="1" w:color="000000"/>
              </w:pBdr>
              <w:bidi w:val="0"/>
              <w:spacing w:before="0" w:after="0"/>
              <w:jc w:val="left"/>
              <w:rPr/>
            </w:pPr>
            <w:r>
              <w:rPr/>
              <w:t> </w:t>
            </w:r>
          </w:p>
        </w:tc>
        <w:tc>
          <w:tcPr>
            <w:tcW w:w="10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9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378" w:type="dxa"/>
            <w:tcBorders/>
            <w:vAlign w:val="bottom"/>
          </w:tcPr>
          <w:p>
            <w:pPr>
              <w:pStyle w:val="TableContents"/>
              <w:bidi w:val="0"/>
              <w:spacing w:before="0" w:after="283"/>
              <w:jc w:val="left"/>
              <w:rPr>
                <w:sz w:val="4"/>
                <w:szCs w:val="4"/>
              </w:rPr>
            </w:pPr>
            <w:r>
              <w:rPr>
                <w:sz w:val="4"/>
                <w:szCs w:val="4"/>
              </w:rPr>
            </w:r>
          </w:p>
        </w:tc>
      </w:tr>
      <w:tr>
        <w:trPr/>
        <w:tc>
          <w:tcPr>
            <w:tcW w:w="1359"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1062" w:type="dxa"/>
            <w:tcBorders/>
            <w:shd w:fill="CCEEFF" w:val="clear"/>
            <w:vAlign w:val="bottom"/>
          </w:tcPr>
          <w:p>
            <w:pPr>
              <w:pStyle w:val="TableContents"/>
              <w:bidi w:val="0"/>
              <w:spacing w:before="0" w:after="283"/>
              <w:jc w:val="right"/>
              <w:rPr/>
            </w:pPr>
            <w:r>
              <w:rPr/>
              <w:t>440,314</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29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28"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sz w:val="4"/>
                <w:szCs w:val="4"/>
              </w:rPr>
            </w:pPr>
            <w:r>
              <w:rPr>
                <w:sz w:val="4"/>
                <w:szCs w:val="4"/>
              </w:rPr>
            </w:r>
          </w:p>
        </w:tc>
        <w:tc>
          <w:tcPr>
            <w:tcW w:w="9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2378" w:type="dxa"/>
            <w:tcBorders/>
            <w:shd w:fill="CCEEFF" w:val="clear"/>
            <w:vAlign w:val="bottom"/>
          </w:tcPr>
          <w:p>
            <w:pPr>
              <w:pStyle w:val="TableContents"/>
              <w:bidi w:val="0"/>
              <w:spacing w:before="0" w:after="283"/>
              <w:jc w:val="left"/>
              <w:rPr>
                <w:sz w:val="4"/>
                <w:szCs w:val="4"/>
              </w:rPr>
            </w:pPr>
            <w:r>
              <w:rPr>
                <w:sz w:val="4"/>
                <w:szCs w:val="4"/>
              </w:rPr>
            </w:r>
          </w:p>
        </w:tc>
      </w:tr>
      <w:tr>
        <w:trPr/>
        <w:tc>
          <w:tcPr>
            <w:tcW w:w="135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82" w:type="dxa"/>
            <w:tcBorders/>
            <w:vAlign w:val="bottom"/>
          </w:tcPr>
          <w:p>
            <w:pPr>
              <w:pStyle w:val="TableContents"/>
              <w:pBdr>
                <w:top w:val="double" w:sz="6" w:space="1" w:color="000000"/>
              </w:pBdr>
              <w:bidi w:val="0"/>
              <w:spacing w:before="0" w:after="0"/>
              <w:jc w:val="left"/>
              <w:rPr/>
            </w:pPr>
            <w:r>
              <w:rPr/>
              <w:t> </w:t>
            </w:r>
          </w:p>
        </w:tc>
        <w:tc>
          <w:tcPr>
            <w:tcW w:w="10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sz w:val="4"/>
                <w:szCs w:val="4"/>
              </w:rPr>
            </w:pPr>
            <w:r>
              <w:rPr>
                <w:sz w:val="4"/>
                <w:szCs w:val="4"/>
              </w:rPr>
            </w:r>
          </w:p>
        </w:tc>
        <w:tc>
          <w:tcPr>
            <w:tcW w:w="129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sz w:val="4"/>
                <w:szCs w:val="4"/>
              </w:rPr>
            </w:pPr>
            <w:r>
              <w:rPr>
                <w:sz w:val="4"/>
                <w:szCs w:val="4"/>
              </w:rPr>
            </w:r>
          </w:p>
        </w:tc>
        <w:tc>
          <w:tcPr>
            <w:tcW w:w="9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2378"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2025, there were no revolving loan amounts outstanding under the $75.0 million First Lien Revolving Credit Facility due 2029. The undrawn commitments under the First Lien Revolving Credit Facility are subject to an unused fee of 1.0% per annum, paid quarterly, as applicable. Please see Note 8 to our consolidated financial statements for further discussion of the interest rate applicable to the First Lien Revolving Credit Facility.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2025, we are required to make monthly, interest-only payments under the Second Lien Term Loans due 2033. However, beginning January 1, 2026, monthly principal and interest payments will commence on the first day of each month until a final balloon payment in the amount of all unpaid principal, accrued and unpaid interest becomes due on January 1, 2033.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First Lien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current aggregate commitments for the Revolving Loans under the First Lien Revolving Credit Facility total $75 million, all of which remain undrawn. The First Lien Revolving Credit Facility also has a customary uncommitted incremental facility in an amount up to $50 million (or such greater amount as consented to by all lenders). Our ability to borrow under the First Lien Revolving Credit Facility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will mature on the earlier of (i) the fifth anniversary of the Credit Agreement Closing Date or (ii) the date the Revolving Loans are declared due and payable following the occurrence and during the continuation of an event of default. Borrowings under the First Lien Revolving Credit Facility will be comprised of Base Rate Loans or SOFR Rate Loans, at the option of the Borrower, and accrue interest as follows: (A) for Revolving Loans that are Base Rate Loans, a rate ranging from 1.75% to 2.75% (depending on the total net leverage ratio in effect at such time) per annum, plus the greatest of, subject to a 0.00% floor: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engage in transactions with affiliates and make asset sales, in each case, subject to customary exceptions and baskets. The First Lien Revolving Credit Facility is subject to financial covenants that require us to have (i) a maximum First Lien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First Lien Revolving Credit Facility collateral coverage ratio (measured by total Revolving Loan commitments, whether or not drawn) of no less than 3.00 to 1.00, in each case, tested on the facility closing date, and thereafter as of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the financial covenants, together with other customary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Second Lien Term Loans </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2024, we entered into the Second Lien Term Loan Credit Agreement with Stonebriar Commercial Finance, LLC, as administrative agent, and Wilmington Trust, National Association, as collateral trustee, and the lenders party thereto, providing for $450.0 million of second-lien term loans with a maturity date of January 1, 2033, all of which were drawn on December 27, 2024.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We may fully prepay all amounts due under the Second Lien Credit Agreement at any time prior to maturity, subject to the prepayment fee schedule set forth below. We are permitted to partially prepay between $50.0 million and $100.0 million prior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we are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guaranteed by certain of our domestic and foreign subsidiaries and are secured by a second priority security interest in, and lien on, all our U.S.-flagged vessels. The credit agreement contains customary representations and warranties, covenants and events of default, but only one financial maintenance covenant, which is a $25.0 million minimum cash liquidity requirement. The carrying value of our Second Lien Term Loans due 2033 approximates their fair value. </w:t>
      </w:r>
    </w:p>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and as of September 30, 2025, we were in compliance with all applicable financial covenants under our First Lien Revolving Credit Facility and Second Lien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and Related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costs incurred for the purposes set forth below for the nine months ended September 30, 2025 and 2024, and for the years ended December 31, 2024, 2023 and 2022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95"/>
        <w:gridCol w:w="199"/>
        <w:gridCol w:w="140"/>
        <w:gridCol w:w="802"/>
        <w:gridCol w:w="60"/>
        <w:gridCol w:w="199"/>
        <w:gridCol w:w="140"/>
        <w:gridCol w:w="802"/>
        <w:gridCol w:w="60"/>
        <w:gridCol w:w="199"/>
        <w:gridCol w:w="140"/>
        <w:gridCol w:w="802"/>
        <w:gridCol w:w="60"/>
        <w:gridCol w:w="199"/>
        <w:gridCol w:w="140"/>
        <w:gridCol w:w="802"/>
        <w:gridCol w:w="59"/>
        <w:gridCol w:w="199"/>
        <w:gridCol w:w="140"/>
        <w:gridCol w:w="802"/>
        <w:gridCol w:w="66"/>
      </w:tblGrid>
      <w:tr>
        <w:trPr/>
        <w:tc>
          <w:tcPr>
            <w:tcW w:w="4195"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21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6" w:type="dxa"/>
            <w:tcBorders/>
            <w:vAlign w:val="bottom"/>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Expenditures:</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95" w:type="dxa"/>
            <w:tcBorders/>
          </w:tcPr>
          <w:p>
            <w:pPr>
              <w:pStyle w:val="TableContents"/>
              <w:bidi w:val="0"/>
              <w:spacing w:before="0" w:after="0"/>
              <w:jc w:val="left"/>
              <w:rPr>
                <w:rFonts w:ascii="Times New Roman" w:hAnsi="Times New Roman"/>
                <w:i/>
                <w:sz w:val="20"/>
              </w:rPr>
            </w:pPr>
            <w:r>
              <w:rPr>
                <w:rFonts w:ascii="Times New Roman" w:hAnsi="Times New Roman"/>
                <w:i/>
                <w:sz w:val="20"/>
              </w:rPr>
              <w:t>Maintenance Capital Expenditures</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drydocking charges</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47,853</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38,101</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59,491</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29,828</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2" w:type="dxa"/>
            <w:tcBorders/>
            <w:shd w:fill="CCEEFF" w:val="clear"/>
            <w:vAlign w:val="bottom"/>
          </w:tcPr>
          <w:p>
            <w:pPr>
              <w:pStyle w:val="TableContents"/>
              <w:bidi w:val="0"/>
              <w:spacing w:before="0" w:after="283"/>
              <w:jc w:val="right"/>
              <w:rPr/>
            </w:pPr>
            <w:r>
              <w:rPr/>
              <w:t>19,114</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capital improvements</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15,370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15,775</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16,171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7,745</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3,758</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63,223</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53,876</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75,662</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37,573</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22,872</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i/>
                <w:sz w:val="20"/>
              </w:rPr>
            </w:pPr>
            <w:r>
              <w:rPr>
                <w:rFonts w:ascii="Times New Roman" w:hAnsi="Times New Roman"/>
                <w:i/>
                <w:sz w:val="20"/>
              </w:rPr>
              <w:t>Growth Capital Expenditures(1)(2)</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MPSV Newbuild Construction</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34,771</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16,437</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35,173</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sz w:val="20"/>
              </w:rPr>
            </w:pPr>
            <w:r>
              <w:rPr>
                <w:rFonts w:ascii="Times New Roman" w:hAnsi="Times New Roman"/>
                <w:sz w:val="20"/>
              </w:rPr>
              <w:t>ECO Acquisitions</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20,316</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20,363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119,449</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60,848</w:t>
            </w:r>
          </w:p>
        </w:tc>
        <w:tc>
          <w:tcPr>
            <w:tcW w:w="66" w:type="dxa"/>
            <w:tcBorders/>
            <w:vAlign w:val="bottom"/>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MARAD acquisition</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9,098</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55,199</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34,771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36,753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55,536</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128,547</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116,047</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Commercial Capital Expenditures(2)</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33,789</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32,137</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47,619</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33,864</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10,949</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i/>
                <w:sz w:val="20"/>
              </w:rPr>
            </w:pPr>
            <w:r>
              <w:rPr>
                <w:rFonts w:ascii="Times New Roman" w:hAnsi="Times New Roman"/>
                <w:i/>
                <w:sz w:val="20"/>
              </w:rPr>
              <w:t>Non-vessel Capital Expenditures</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7,461</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707</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753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1,087</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1,328</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shd w:fill="CCEEFF" w:val="clear"/>
          </w:tcPr>
          <w:p>
            <w:pPr>
              <w:pStyle w:val="TableContents"/>
              <w:bidi w:val="0"/>
              <w:spacing w:before="0" w:after="283"/>
              <w:jc w:val="left"/>
              <w:rPr>
                <w:sz w:val="4"/>
                <w:szCs w:val="4"/>
              </w:rPr>
            </w:pPr>
            <w:r>
              <w:rPr>
                <w:sz w:val="4"/>
                <w:szCs w:val="4"/>
              </w:rPr>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41,250</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32,844</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48,372</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34,951</w:t>
            </w:r>
          </w:p>
        </w:tc>
        <w:tc>
          <w:tcPr>
            <w:tcW w:w="59"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12,277</w:t>
            </w:r>
          </w:p>
        </w:tc>
        <w:tc>
          <w:tcPr>
            <w:tcW w:w="66" w:type="dxa"/>
            <w:tcBorders/>
            <w:shd w:fill="CCEEFF" w:val="clear"/>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9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139,244</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123,473</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179,570</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201,071</w:t>
            </w:r>
          </w:p>
        </w:tc>
        <w:tc>
          <w:tcPr>
            <w:tcW w:w="59"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151,196</w:t>
            </w:r>
          </w:p>
        </w:tc>
        <w:tc>
          <w:tcPr>
            <w:tcW w:w="66" w:type="dxa"/>
            <w:tcBorders/>
            <w:vAlign w:val="bottom"/>
          </w:tcPr>
          <w:p>
            <w:pPr>
              <w:pStyle w:val="TableContents"/>
              <w:bidi w:val="0"/>
              <w:spacing w:before="0" w:after="283"/>
              <w:jc w:val="left"/>
              <w:rPr/>
            </w:pPr>
            <w:r>
              <w:rPr/>
              <w:t> </w:t>
            </w:r>
          </w:p>
        </w:tc>
      </w:tr>
      <w:tr>
        <w:trPr/>
        <w:tc>
          <w:tcPr>
            <w:tcW w:w="4195"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purchase price of constructed or acquired vessels, plus the costs incurred to place such vessels into active service, as necessary.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include associated capitalized interest, as applicable.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Maintenance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Maintenance capital expenditures consist of deferred drydocking charges, which are capitalized to Deferred Charges on the consolidated balance sheet, and maintenance capital improvements, which are capitalized to Property, Plant and Equipment on the consolidated balance sheet.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 they are incurred. We elect to defer and amortize recertification costs, or deferred drydocking charges, over the length of time that the recertification is expected to last, which is generally 30 months on average. Deferred drydocking charges vary year-to-year depending on the number of vessels with expiring certifications in a given year. We completed 24 and 11 recertification drydockings in 2024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Maintenance capital improvements include major replacements of, or improvements to, vessel systems, structures and equipment to enhance operability or extend the vessel’s useful life. The costs of such improvements are typically capitalized and depreciated over the vessel’s remaining useful life. Variability in maintenance capital improvements year-to-year is primarily driven by the number of required recertification drydockings in a given year as we utilize the downtime during the planned shipyard event as an opportunity to complete the discretionary vessel improvements. </w:t>
      </w:r>
    </w:p>
    <w:p>
      <w:pPr>
        <w:pStyle w:val="TextBody"/>
        <w:bidi w:val="0"/>
        <w:spacing w:before="360" w:after="0"/>
        <w:jc w:val="left"/>
        <w:rPr>
          <w:rFonts w:ascii="Times New Roman" w:hAnsi="Times New Roman"/>
          <w:i/>
          <w:sz w:val="20"/>
        </w:rPr>
      </w:pPr>
      <w:r>
        <w:rPr>
          <w:rFonts w:ascii="Times New Roman" w:hAnsi="Times New Roman"/>
          <w:i/>
          <w:sz w:val="20"/>
        </w:rPr>
        <w:t xml:space="preserve">Growth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We undertake growth capital expenditures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MPSV Newbuild Construction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contracted by the Surety to complete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remaining original contract price to Eastern, excluding any approved change orders arising after the settlement date. There is no cap on the Surety’s completion costs. As of September 30, 2025, we have fulfilled our $42.6 million contractual obligation and the Surety has paid $139.0 million. </w:t>
      </w:r>
    </w:p>
    <w:p>
      <w:pPr>
        <w:pStyle w:val="TextBody"/>
        <w:bidi w:val="0"/>
        <w:spacing w:before="240" w:after="0"/>
        <w:jc w:val="left"/>
        <w:rPr>
          <w:rFonts w:ascii="Times New Roman" w:hAnsi="Times New Roman"/>
          <w:sz w:val="20"/>
        </w:rPr>
      </w:pPr>
      <w:r>
        <w:rPr>
          <w:rFonts w:ascii="Times New Roman" w:hAnsi="Times New Roman"/>
          <w:sz w:val="20"/>
        </w:rPr>
        <w:t xml:space="preserve">Following physical delivery by the shipyard, each vessel is expected to undergo crane and other system installations and both vessels are expected to be available for commercial service in 2027. In addition to the fully satisfied $42.6 million contractual obligation, we expect to incur $87.1 million in the aggregate for outfitting, engineering, overhead and the post-delivery discretionary enhancements, of which $59.6 million solely relates to the purchase and installation of the cranes. As of September 30, 2025, we had incurred $21.9 million of such $87.1 million, excluding capitalized interest. Once placed in service, we expect that our book carrying value for each vessel will approximate $80.0 million, including estimated capitalized interest, which is significantly below the expected market value of Jones Act-qualified vessels of this type, size and specifications. </w:t>
      </w:r>
    </w:p>
    <w:p>
      <w:pPr>
        <w:pStyle w:val="TextBody"/>
        <w:bidi w:val="0"/>
        <w:spacing w:before="360" w:after="0"/>
        <w:jc w:val="left"/>
        <w:rPr>
          <w:rFonts w:ascii="Times New Roman" w:hAnsi="Times New Roman"/>
          <w:i/>
          <w:sz w:val="20"/>
        </w:rPr>
      </w:pPr>
      <w:r>
        <w:rPr>
          <w:rFonts w:ascii="Times New Roman" w:hAnsi="Times New Roman"/>
          <w:i/>
          <w:sz w:val="20"/>
        </w:rPr>
        <w:t xml:space="preserve">Commercial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cranes, ROVs, helidecks, living quarters, and other specialized vessel equipment. Recovery of the related costs are typically included in and offset, in whole or in part, by higher dayrates charged to customers in a lump-sum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 </w:t>
      </w:r>
    </w:p>
    <w:p>
      <w:pPr>
        <w:pStyle w:val="TextBody"/>
        <w:bidi w:val="0"/>
        <w:spacing w:before="360" w:after="0"/>
        <w:jc w:val="left"/>
        <w:rPr>
          <w:rFonts w:ascii="Times New Roman" w:hAnsi="Times New Roman"/>
          <w:b/>
          <w:sz w:val="20"/>
        </w:rPr>
      </w:pPr>
      <w:r>
        <w:rPr>
          <w:rFonts w:ascii="Times New Roman" w:hAnsi="Times New Roman"/>
          <w:b/>
          <w:sz w:val="20"/>
        </w:rPr>
        <w:t xml:space="preserve">HOS C/SOV + Flotel Delivery </w:t>
      </w:r>
    </w:p>
    <w:p>
      <w:pPr>
        <w:pStyle w:val="TextBody"/>
        <w:bidi w:val="0"/>
        <w:spacing w:before="120" w:after="0"/>
        <w:jc w:val="left"/>
        <w:rPr>
          <w:rFonts w:ascii="Times New Roman" w:hAnsi="Times New Roman"/>
          <w:sz w:val="20"/>
        </w:rPr>
      </w:pPr>
      <w:r>
        <w:rPr>
          <w:rFonts w:ascii="Times New Roman" w:hAnsi="Times New Roman"/>
          <w:sz w:val="20"/>
        </w:rPr>
        <w:t xml:space="preserve">In July 2023, we announced that we had contracted Eastern to convert one of our U.S.-flagged, Jones Act-qualified, HOSMAX 280 class DP-2 OSVs acquired from MARAD into a MPSV for dual-service as either a C/SOV or flotel to meet the growing demand of the U.S. offshore wind or oilfield markets for large personnel accommodations with “walk-to-work” capability. Following delivery from the shipyard in early November 2025, the converted vessel was placed into active service and will commence a charter to support an offshore wind project off the U.S. East Coast. The total cost of the conversion is estimated to be $96.0 million, including owner-furnished equipment, outfitting, engineering and overhead costs, which is significantly below the estimated newbuild cost of approximately $170 million. Our HOS C/SOV+Flotel MPSV is capable of providing services to the U.S. offshore wind market both during the commissioning phase of an offshore wind farm and during its operational life, as well as to offshore facilities engaged in the exploration and production of hydrocarbons. </w:t>
      </w:r>
    </w:p>
    <w:p>
      <w:pPr>
        <w:pStyle w:val="TextBody"/>
        <w:bidi w:val="0"/>
        <w:spacing w:before="360" w:after="0"/>
        <w:jc w:val="left"/>
        <w:rPr>
          <w:rFonts w:ascii="Times New Roman" w:hAnsi="Times New Roman"/>
          <w:i/>
          <w:sz w:val="20"/>
        </w:rPr>
      </w:pPr>
      <w:r>
        <w:rPr>
          <w:rFonts w:ascii="Times New Roman" w:hAnsi="Times New Roman"/>
          <w:i/>
          <w:sz w:val="20"/>
        </w:rPr>
        <w:t xml:space="preserve">Non-Vessel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Non-vessel capital expenditures primarily relate to fixed asset additions or improvements related to our port facility, office locations, information technology, non-vessel property, plant and equipment or other shoreside support initiatives.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and notes set forth our aggregate contractual obligations under our existing debt agreements, non-cancellable property and equipment leases, and vessel construction and conversion programs as of September 30, 2025 (in thousands). These amounts do not include expected capital spending or other related costs that were not contractually committed as of September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7"/>
        <w:gridCol w:w="189"/>
        <w:gridCol w:w="140"/>
        <w:gridCol w:w="817"/>
        <w:gridCol w:w="60"/>
        <w:gridCol w:w="189"/>
        <w:gridCol w:w="169"/>
        <w:gridCol w:w="835"/>
        <w:gridCol w:w="60"/>
        <w:gridCol w:w="189"/>
        <w:gridCol w:w="140"/>
        <w:gridCol w:w="817"/>
        <w:gridCol w:w="60"/>
        <w:gridCol w:w="189"/>
        <w:gridCol w:w="140"/>
        <w:gridCol w:w="816"/>
        <w:gridCol w:w="60"/>
        <w:gridCol w:w="189"/>
        <w:gridCol w:w="167"/>
        <w:gridCol w:w="973"/>
        <w:gridCol w:w="69"/>
      </w:tblGrid>
      <w:tr>
        <w:trPr/>
        <w:tc>
          <w:tcPr>
            <w:tcW w:w="3937"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93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Less than</w:t>
              <w:br/>
              <w:t>1 Year</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1-3 Years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3-5 Years</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1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Thereafter</w:t>
            </w:r>
          </w:p>
        </w:tc>
        <w:tc>
          <w:tcPr>
            <w:tcW w:w="69"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Crane purchase contracts(1)</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25,163</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20,588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4,575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Loans(2)</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448,326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22,715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77,046</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92,974</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255,591</w:t>
            </w:r>
          </w:p>
        </w:tc>
        <w:tc>
          <w:tcPr>
            <w:tcW w:w="69" w:type="dxa"/>
            <w:tcBorders/>
            <w:vAlign w:val="bottom"/>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payments(3)</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214,387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41,422</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73,206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6" w:type="dxa"/>
            <w:tcBorders/>
            <w:shd w:fill="CCEEFF" w:val="clear"/>
            <w:vAlign w:val="bottom"/>
          </w:tcPr>
          <w:p>
            <w:pPr>
              <w:pStyle w:val="TableContents"/>
              <w:bidi w:val="0"/>
              <w:spacing w:before="0" w:after="283"/>
              <w:jc w:val="right"/>
              <w:rPr/>
            </w:pPr>
            <w:r>
              <w:rPr/>
              <w:t>57,277</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42,482</w:t>
            </w:r>
          </w:p>
        </w:tc>
        <w:tc>
          <w:tcPr>
            <w:tcW w:w="69" w:type="dxa"/>
            <w:tcBorders/>
            <w:shd w:fill="CCEEFF" w:val="clear"/>
            <w:vAlign w:val="bottom"/>
          </w:tcPr>
          <w:p>
            <w:pPr>
              <w:pStyle w:val="TableContents"/>
              <w:bidi w:val="0"/>
              <w:spacing w:before="0" w:after="283"/>
              <w:jc w:val="left"/>
              <w:rPr/>
            </w:pPr>
            <w:r>
              <w:rPr/>
              <w:t> </w:t>
            </w:r>
          </w:p>
        </w:tc>
      </w:tr>
      <w:tr>
        <w:trPr/>
        <w:tc>
          <w:tcPr>
            <w:tcW w:w="3937" w:type="dxa"/>
            <w:tcBorders/>
          </w:tcPr>
          <w:p>
            <w:pPr>
              <w:pStyle w:val="TableContents"/>
              <w:bidi w:val="0"/>
              <w:spacing w:before="0" w:after="0"/>
              <w:jc w:val="left"/>
              <w:rPr>
                <w:rFonts w:ascii="Times New Roman" w:hAnsi="Times New Roman"/>
                <w:sz w:val="20"/>
              </w:rPr>
            </w:pPr>
            <w:r>
              <w:rPr>
                <w:rFonts w:ascii="Times New Roman" w:hAnsi="Times New Roman"/>
                <w:sz w:val="20"/>
              </w:rPr>
              <w:t>Non-cancellable leases</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42,769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8,750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15,611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6" w:type="dxa"/>
            <w:tcBorders/>
            <w:vAlign w:val="bottom"/>
          </w:tcPr>
          <w:p>
            <w:pPr>
              <w:pStyle w:val="TableContents"/>
              <w:bidi w:val="0"/>
              <w:spacing w:before="0" w:after="283"/>
              <w:jc w:val="right"/>
              <w:rPr/>
            </w:pPr>
            <w:r>
              <w:rPr/>
              <w:t>7,265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11,143</w:t>
            </w:r>
          </w:p>
        </w:tc>
        <w:tc>
          <w:tcPr>
            <w:tcW w:w="69" w:type="dxa"/>
            <w:tcBorders/>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7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9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730,645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93,475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170,438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6" w:type="dxa"/>
            <w:tcBorders/>
            <w:shd w:fill="CCEEFF" w:val="clear"/>
            <w:vAlign w:val="bottom"/>
          </w:tcPr>
          <w:p>
            <w:pPr>
              <w:pStyle w:val="TableContents"/>
              <w:bidi w:val="0"/>
              <w:spacing w:before="0" w:after="283"/>
              <w:jc w:val="right"/>
              <w:rPr/>
            </w:pPr>
            <w:r>
              <w:rPr/>
              <w:t>157,516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73" w:type="dxa"/>
            <w:tcBorders/>
            <w:shd w:fill="CCEEFF" w:val="clear"/>
            <w:vAlign w:val="bottom"/>
          </w:tcPr>
          <w:p>
            <w:pPr>
              <w:pStyle w:val="TableContents"/>
              <w:bidi w:val="0"/>
              <w:spacing w:before="0" w:after="283"/>
              <w:jc w:val="right"/>
              <w:rPr/>
            </w:pPr>
            <w:r>
              <w:rPr/>
              <w:t>309,216</w:t>
            </w:r>
          </w:p>
        </w:tc>
        <w:tc>
          <w:tcPr>
            <w:tcW w:w="69" w:type="dxa"/>
            <w:tcBorders/>
            <w:shd w:fill="CCEEFF" w:val="clear"/>
            <w:vAlign w:val="bottom"/>
          </w:tcPr>
          <w:p>
            <w:pPr>
              <w:pStyle w:val="TableContents"/>
              <w:bidi w:val="0"/>
              <w:spacing w:before="0" w:after="283"/>
              <w:jc w:val="left"/>
              <w:rPr/>
            </w:pPr>
            <w:r>
              <w:rPr/>
              <w:t> </w:t>
            </w:r>
          </w:p>
        </w:tc>
      </w:tr>
      <w:tr>
        <w:trPr/>
        <w:tc>
          <w:tcPr>
            <w:tcW w:w="3937"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7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our contractual agreement to purchase five active heave compensated knuckle boom cranes, consisting of two 250T cranes and three 70T cranes. Two 250T and two 70T cranes are designated for installation on the two MPSV newbuilds currently under construction, while the remaining 70T crane is intended for future installation on an existing vessel. Contractual amounts reflect the equipment acquisition costs covered under the purchase agreement and excludes currently non-contractually obligated costs, such as shipping and installation costs. See “—Capital Expenditures and Related Commitments—MPSV Newbuild Construction” for further discussion related to the crane installation and expected costs related to the two MPSV newbuilds.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Second Lien Term Loans due 2033 mature on January 1, 2033 with monthly principal payments commencing January 1, 2026. Please see Note 11 to our consolidated financial statements within the Annual Report as of and for the year ended December 31, 2024 for further discussion regarding payment obligations under the Second Lien Term Loans due 2033.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December 27, 2024, we entered into a second-lien term loan credit agreement with Stonebriar Commercial Finance, LLC, as administrative agent, and Wilmington Trust, National Association, as collateral trustee, and the lenders party thereto, providing for $450.0 million of second-lien term loans that bear interest at a fixed annual interest rate of 9.25% and mature on January 1, 2033. As of September 30, 2025, there were no amounts drawn on our $75.0 million First Lien Revolving Credit Facility due 2029. The First Lien Revolving Credit Facility is subject to a quarterly unused fee of 1.0% per annum, as applicable, that is excluded from these amounts.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Estimates </w:t>
      </w:r>
    </w:p>
    <w:p>
      <w:pPr>
        <w:pStyle w:val="TextBody"/>
        <w:bidi w:val="0"/>
        <w:spacing w:before="120" w:after="0"/>
        <w:jc w:val="left"/>
        <w:rPr>
          <w:rFonts w:ascii="Times New Roman" w:hAnsi="Times New Roman"/>
          <w:sz w:val="20"/>
        </w:rPr>
      </w:pPr>
      <w:r>
        <w:rPr>
          <w:rFonts w:ascii="Times New Roman" w:hAnsi="Times New Roman"/>
          <w:sz w:val="20"/>
        </w:rPr>
        <w:t xml:space="preserve">Our consolidated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 </w:t>
      </w:r>
    </w:p>
    <w:p>
      <w:pPr>
        <w:pStyle w:val="TextBody"/>
        <w:bidi w:val="0"/>
        <w:spacing w:before="240" w:after="0"/>
        <w:jc w:val="left"/>
        <w:rPr>
          <w:rFonts w:ascii="Times New Roman" w:hAnsi="Times New Roman"/>
          <w:sz w:val="20"/>
        </w:rPr>
      </w:pPr>
      <w:r>
        <w:rPr>
          <w:rFonts w:ascii="Times New Roman" w:hAnsi="Times New Roman"/>
          <w:i/>
          <w:sz w:val="20"/>
        </w:rPr>
        <w:t>Revenue Recognition</w:t>
      </w:r>
      <w:r>
        <w:rPr>
          <w:rFonts w:ascii="Times New Roman" w:hAnsi="Times New Roman"/>
          <w:sz w:val="20"/>
        </w:rPr>
        <w:t xml:space="preserve">. The services that we provide represent a single performance obligation under our contracts that are satisfied at a point in time or over time. Revenues are earned primarily by (1) chartering our vessels, including the operation of such vessels, (2) providing vessel management services to third party vessel owners, and (3) providing shore-based port facility services, including rental of land. Revenues associated with performance obligations satisfied over time are recognized on a daily basis throughout the contract period. </w:t>
      </w:r>
    </w:p>
    <w:p>
      <w:pPr>
        <w:pStyle w:val="TextBody"/>
        <w:bidi w:val="0"/>
        <w:spacing w:before="240" w:after="0"/>
        <w:jc w:val="left"/>
        <w:rPr>
          <w:rFonts w:ascii="Times New Roman" w:hAnsi="Times New Roman"/>
          <w:sz w:val="20"/>
        </w:rPr>
      </w:pPr>
      <w:r>
        <w:rPr>
          <w:rFonts w:ascii="Times New Roman" w:hAnsi="Times New Roman"/>
          <w:sz w:val="20"/>
        </w:rPr>
        <w:t xml:space="preserve">Typically, our application of ASC 606, Revenue from Contracts with Customers 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 contract 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We have not incurred a material adjustment to revenues as a result of changes in our estimates and assumptions associated with customer contracts during the nine months ended September 30, 2025 or during the years ended December 31, 2024, 2023 or 2022. Please see further discussion regarding revenues generated from contracts with customers in Note 4 to our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Allowance for Doubtful Accounts</w:t>
      </w:r>
      <w:r>
        <w:rPr>
          <w:rFonts w:ascii="Times New Roman" w:hAnsi="Times New Roman"/>
          <w:sz w:val="20"/>
        </w:rPr>
        <w:t xml:space="preserve">. Our customers are primarily major and independent, domestic and international, oil and gas and oilfield service companies and national oil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 </w:t>
      </w:r>
    </w:p>
    <w:p>
      <w:pPr>
        <w:pStyle w:val="TextBody"/>
        <w:bidi w:val="0"/>
        <w:spacing w:before="240" w:after="0"/>
        <w:jc w:val="left"/>
        <w:rPr>
          <w:rFonts w:ascii="Times New Roman" w:hAnsi="Times New Roman"/>
          <w:sz w:val="20"/>
        </w:rPr>
      </w:pPr>
      <w:r>
        <w:rPr>
          <w:rFonts w:ascii="Times New Roman" w:hAnsi="Times New Roman"/>
          <w:i/>
          <w:sz w:val="20"/>
        </w:rPr>
        <w:t>Liability-Classified Warrants</w:t>
      </w:r>
      <w:r>
        <w:rPr>
          <w:rFonts w:ascii="Times New Roman" w:hAnsi="Times New Roman"/>
          <w:sz w:val="20"/>
        </w:rPr>
        <w:t xml:space="preserve">. Common stock warrants are accounted for as either equity instruments or liabilities depending on the specific terms of the applicable warrant agreement. Our outstanding Creditor Warrants were previously classified as liabilities pursuant to ASC 815, Derivatives and Hedging due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anti-dilution provisions in the Creditor Warrant Agreement. On December 10, 2024, the Creditor Warrant Agreement was amended to remove such anti-dilution provisions. As a result, the Creditor Warrants are now effectively indexed to our common stock and are thus accounted for as stockholders’ equity since the effective date of the amendment. While classified as a liability, the Creditor Warrants were recorded at their estimated fair value on a recurring basis at each balance sheet date. To estimate their fair value, we, assisted by third-party valuation advisors, used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Our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weighted-average cost of capital and an exit multiple. The fair value of the Creditor Warrants fell within Level 3 of the hierarchy as there is currently no active trading market and certain inputs of the Black-Scholes model are not observable or corroborated by available market data. Based on the lack of trading history of our privately-held equity, we consider the estimated fair value of our common stock to be the most critical assumption in the determination of the fair value of the Creditor Warrants. At December 10, 2024, the date of the amendment to the Creditor Warrant Agreement, every one-dollar change in the estimated fair value per share of the underlying common stock would have had an approximate $1.5 million impact on the estimated fair value of the Creditor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reclassification of the warrants to stockholders’ equity resulting from the amendment to the Creditor Warrant Agreement, changes in the estimated fair value of our liability-classified warrants were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12 to our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Stock-Based Compensation Expense</w:t>
      </w:r>
      <w:r>
        <w:rPr>
          <w:rFonts w:ascii="Times New Roman" w:hAnsi="Times New Roman"/>
          <w:sz w:val="20"/>
        </w:rPr>
        <w:t xml:space="preserve">. Stock-based compensation awards are accounted for in accordance with ASC 718, Compensation – Stock Compensation, which requires all share-based payments to our employees and directors to be recognized in the consolidated financial statements based on their fair values on the grant date. The fair value of the underlying common stock is based upon a valuation of our equity developed with the assistance of third-party valuation experts using a combination of income and market approaches as of the appropriate measurement date. We recognize compensation expense on a straight-line basis over the expected vesting period of stock-based awards that are ultimately expected to vest based on their estimated fair value on the grant date. Forfeitures are recognized during the period in which they actually occur. Estimates of the fair value of the underlying common stock will not be necessary to determine the fair value of any new awards once the underlying shares begin trading following public registration. Please see further discussion regarding our stock-based compensation in Note 14 to our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Income Taxes</w:t>
      </w:r>
      <w:r>
        <w:rPr>
          <w:rFonts w:ascii="Times New Roman" w:hAnsi="Times New Roman"/>
          <w:sz w:val="20"/>
        </w:rPr>
        <w:t xml:space="preserve">. We follow accounting standards for income taxes that require the use of the liability method of computing deferred income taxes. 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for the period ended December 31, 2022, ASC 740 precluded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$220.6 million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$264.6 million recorded against our deferred tax assets as of December 31, 2024 and 2023, respectively. Such valuation allowances were established because we determined that it was more likely than not such NOL, FTC carryforwards and other deferred tax assets may not be fully utilized prior to their expiration. In addition, each reporting period, we assess and adjust for any significant changes to our liability for unrecognized income tax benefits. We account for any interest and penalties relating to uncertain tax positions in interest expense and G&amp;A expense, respectively. We have made an accounting policy election to account for global intangible low-taxed income, or GILTI, in the year the tax is incurred. Please see further discussion regarding income taxes in Note 15 to our consolidated financial statements. </w:t>
      </w:r>
    </w:p>
    <w:p>
      <w:pPr>
        <w:pStyle w:val="TextBody"/>
        <w:bidi w:val="0"/>
        <w:spacing w:before="240" w:after="0"/>
        <w:jc w:val="left"/>
        <w:rPr>
          <w:rFonts w:ascii="Times New Roman" w:hAnsi="Times New Roman"/>
          <w:sz w:val="20"/>
        </w:rPr>
      </w:pPr>
      <w:r>
        <w:rPr>
          <w:rFonts w:ascii="Times New Roman" w:hAnsi="Times New Roman"/>
          <w:i/>
          <w:sz w:val="20"/>
        </w:rPr>
        <w:t>Legal Contingencies</w:t>
      </w:r>
      <w:r>
        <w:rPr>
          <w:rFonts w:ascii="Times New Roman" w:hAnsi="Times New Roman"/>
          <w:sz w:val="20"/>
        </w:rPr>
        <w:t xml:space="preserve">. We are involved in a variety of claims, lawsuits, investigations and proceedings, as described in Note 17 to our consolidated 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 </w:t>
      </w:r>
    </w:p>
    <w:p>
      <w:pPr>
        <w:pStyle w:val="TextBody"/>
        <w:bidi w:val="0"/>
        <w:spacing w:before="240" w:after="0"/>
        <w:jc w:val="left"/>
        <w:rPr>
          <w:rFonts w:ascii="Times New Roman" w:hAnsi="Times New Roman"/>
          <w:sz w:val="20"/>
        </w:rPr>
      </w:pPr>
      <w:r>
        <w:rPr>
          <w:rFonts w:ascii="Times New Roman" w:hAnsi="Times New Roman"/>
          <w:sz w:val="20"/>
        </w:rPr>
        <w:t xml:space="preserve">Recertification Costs. Our vessels are required by regulation to be recertified after certain periods of time. These recertification costs are incurred while the vessel is in drydock where other routine repairs and maintenance are also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24 to 36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For the nine months ended September 30, 2025, we incurred $47.9 million in deferred drydocking costs, and for the years ended 2024, 2023 and 2022, we incurred deferred drydocking costs totaling $59.5 million, $29.8 million and $19.1 million, respectively. A change in policy from defer-and-amortize to expense-as-incurred could materially impact our results of operations in future periods. No such change is anticipated.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Second Lien Term Loans currently bear interest at a fixed annual interest rate of 9.25%. Borrowings under the First Lien Revolving Credit Facility will be comprised of Base Rate Loans or SOFR Rate Loans (each as defined in the First Lien Credit Agreement), at our option, and accrue interest as follows: (A) for Revolving Loans that are Base Rate Loans, a rate ranging from 1.75% to 2.75% (depending on the total net leverage ratio in effect at such time) per annum, plus the greatest of, subject to a 0.00% floor: (a) the Prime Rate (as defined in the First Lien Credit Agreement) in effect on such day, (b) the Federal Funds Rate (as defined in the First Lien Credit Agreement) in effect on such day plus 0.50%, and (c) the Adjusted Term SOFR (as defined in the First Lien Credit Agreement) rate for a one month interest period on such day after giving effect to a floor of 0.00% 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annum, plus 1.00% and (B) for Revolving Loans that are SOFR Rate Loans, a rate ranging from 2.75% to 3.75% (depending on the total net leverage ratio in effect at such time) per annum plus the Term SOFR (as defined in the First Lien Credit Agreement) rate, subject to a 0.00% floor, plus a credit spread adjustment of 0.10% per annum. Accordingly, changes in market interest rates may have a material impact on our results of operations and cash flows. See “—Liquidity and Capital Resources—Debt Agreements”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Exchange Risk </w:t>
      </w:r>
    </w:p>
    <w:p>
      <w:pPr>
        <w:pStyle w:val="TextBody"/>
        <w:bidi w:val="0"/>
        <w:spacing w:before="120" w:after="0"/>
        <w:jc w:val="left"/>
        <w:rPr>
          <w:rFonts w:ascii="Times New Roman" w:hAnsi="Times New Roman"/>
          <w:sz w:val="20"/>
        </w:rPr>
      </w:pPr>
      <w:r>
        <w:rPr>
          <w:rFonts w:ascii="Times New Roman" w:hAnsi="Times New Roman"/>
          <w:sz w:val="20"/>
        </w:rPr>
        <w:t xml:space="preserve">Our financial instruments that can be affected by foreign currency exchange rate fluctuations consist primarily of cash and cash equivalents, trade receivables, trade payables and intercompany debt denominated in currencies other than the U.S. dollar or the functional currency of certain of our consolidated subsidiaries.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spot or forward derivative financial instruments as of September 30, 2025 or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rom66194_9"/>
      <w:bookmarkEnd w:id="11"/>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Company Overview </w:t>
      </w:r>
    </w:p>
    <w:p>
      <w:pPr>
        <w:pStyle w:val="TextBody"/>
        <w:bidi w:val="0"/>
        <w:spacing w:before="120" w:after="0"/>
        <w:jc w:val="left"/>
        <w:rPr>
          <w:rFonts w:ascii="Times New Roman" w:hAnsi="Times New Roman"/>
          <w:sz w:val="20"/>
        </w:rPr>
      </w:pPr>
      <w:r>
        <w:rPr>
          <w:rFonts w:ascii="Times New Roman" w:hAnsi="Times New Roman"/>
          <w:sz w:val="20"/>
        </w:rPr>
        <w:t xml:space="preserve">Hornbeck is a leading provider of marine transportation services supporting a range of diversified offshore end-markets including oilfield specialty services and drilling support, military support services, renewable energy development and other non-oilfield service offerings, such as HADR and aerospace support services. We own a fleet of 74 offshore vessels comprised of 15 MPSVs, two of which are under construction, and 59 OSVs. In addition, we provide ongoing operation and maintenance of four highly specialized OSVs (which we previously developed, constructed, and sold to the U.S. Navy) via a long-term O&amp;M contract. Since our founding nearly 30 years ago, we have focused on providing innovative, technologically advanced marine solutions to meet the evolving needs of our customers across our core geographic regions spanning the United States and Latin America. Our team brings substantial industry expertise built through decades of maritime-related experience and has leveraged that knowledge to amass what we believe is one of the largest, most capable and highest specification fleets of OSVs and MPSVs in the offshore vessel industry. </w:t>
      </w:r>
    </w:p>
    <w:p>
      <w:pPr>
        <w:pStyle w:val="TextBody"/>
        <w:bidi w:val="0"/>
        <w:spacing w:before="240" w:after="0"/>
        <w:jc w:val="left"/>
        <w:rPr>
          <w:rFonts w:ascii="Times New Roman" w:hAnsi="Times New Roman"/>
          <w:sz w:val="20"/>
        </w:rPr>
      </w:pPr>
      <w:r>
        <w:rPr>
          <w:rFonts w:ascii="Times New Roman" w:hAnsi="Times New Roman"/>
          <w:sz w:val="20"/>
        </w:rPr>
        <w:t xml:space="preserve">Our fleet was assembled to be a market-leading provider of complex “life-of-field” maritime services for deepwater and ultra-deepwater offshore projects in select, cabotage-protected markets. As a result, we have strategically organized our fleet to focus on the high- and ultra high-spec vessel classifications, which generally provide customers with greater capacities, larger deck spaces, greater lifting capabilities, and leading-edge dynamic positioning systems. As measured by DWT capacity, approximately 85% of our total fleet is classified as either high- or ultra high-spec with DP-2 or higher classification, which we believe represents the third largest fleet of such vessels in the world. Similarly, approximately 99% of our currently active fleet of 46 vessels are classified as either high- or ultra-high spec and have an expected remaining economic useful life that exceeds 20 years. We believe that our industry leading fleet of active vessels provides our customers with a reliable and differentiated value proposition across the varied end-markets in which they operate and allows us to achieve significant, consistent operational and financial performance that is capable of generating enhanced returns for our investors.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have strategically chosen to operate our vessels in select geographic locations that represent what we believe are the most compelling deepwater offshore markets in the world. Many of these locations, such as the United States, Mexico and Brazil, also have regulatory protections known as cabotage laws that limit market participation for non-indigenous flagged vessels, creating high barriers to entry and advantaged supply and demand dynamics for our vessels. This allows us to execute a highly differentiated commercial strategy, optimizing vessel contracts across our portfolio of assets and diversified end-markets to maximize profitability, free cash flow generation, and returns rather than focusing primarily on asset utilization and contract tenor. Ultimately, we believe this commercial strategy has proven to be a superior business model, allowing us to strategically deploy our assets to high-demand end-markets, contract our vessels at industry-leading dayrates and consistently achieve average dayrates and financial margins that outperform our domestic public peers. </w:t>
      </w:r>
    </w:p>
    <w:p>
      <w:pPr>
        <w:pStyle w:val="TextBody"/>
        <w:bidi w:val="0"/>
        <w:spacing w:before="240" w:after="0"/>
        <w:jc w:val="left"/>
        <w:rPr>
          <w:rFonts w:ascii="Times New Roman" w:hAnsi="Times New Roman"/>
          <w:sz w:val="20"/>
        </w:rPr>
      </w:pPr>
      <w:r>
        <w:rPr>
          <w:rFonts w:ascii="Times New Roman" w:hAnsi="Times New Roman"/>
          <w:sz w:val="20"/>
        </w:rPr>
        <w:t xml:space="preserve">Our fleet of 15 MPSVs provides services ranging from offshore construction to recurring IRM services, as well as commissioning and decommissioning for offshore and subsea energy and infrastructure projects. Most of our MPSVs are outfitted with specialty equipment that is specifically installed for the type of work the vessel is contracted to complete, which can easily be modified to address varying customer requirements by leveraging our in-house engineering capabilities, modular accommodation units and shore-based facilities. Typically, our MPSVs are equipped with one or more deepwater cranes, have the ability to deploy one or more ROVs to support subsea work and have an installed helipad to facilitate the on- and off-boarding of specialist service providers and personnel. Our MPSVs can also be outfitted as flotels capable of providing berthing cabins, offices, catering, laundry, medical and recreational facilities for up to nearly 200 personnel for the duration of an offshore project. Given the breadth of capabilities of our MPSV fleet, our vessels are highly relevant to our customers across a broad range of end-markets that we serve, including oilfield infrastructure construction and installation, ongoing IRM services, maintenance and overhaul projects, military support services and renewable energy projects such as offshore wind. This diversification makes our fleet less vulnerable to fluctuating commodity prices or industry cyclicality and allows us to strategically reposition our assets to different customer types depending on prevailing industry trends, demand drivers and growth opportunities, helping to maximize the opportunities for each of our vessels to achieve its targeted profitability and return objectives. Since 2021,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have strategically repositioned our fleet to capture value across these diversified end-markets. As of September 30, 2025, approximately 70% of our trailing twelve-month revenues were derived from oilfield specialty and non-oilfield services, providing a more consistent operating environment for our Company that is less impacted by industry cyclicality associated with oilfield drilling operations. </w:t>
      </w:r>
    </w:p>
    <w:p>
      <w:pPr>
        <w:pStyle w:val="TextBody"/>
        <w:bidi w:val="0"/>
        <w:spacing w:before="240" w:after="0"/>
        <w:jc w:val="left"/>
        <w:rPr>
          <w:rFonts w:ascii="Times New Roman" w:hAnsi="Times New Roman"/>
          <w:sz w:val="20"/>
        </w:rPr>
      </w:pPr>
      <w:r>
        <w:rPr>
          <w:rFonts w:ascii="Times New Roman" w:hAnsi="Times New Roman"/>
          <w:sz w:val="20"/>
        </w:rPr>
        <w:t xml:space="preserve">Included in our pro forma fleet of 15 MPSVs are two 400-class MPSV newbuilds that are currently under construction and expected to be delivered in 2027. Based on their overall length and total lifting capacity, we expect these vessels to be the largest, most capable Jones Act-qualified MPSVs in the market, with industry-leading technologies that will make them some of the most sophisticated MPSVs in the world. Each vessel will be equipped with one 250-ton subsea crane, a secondary 100-ton crane and large berthing areas, giving them the highest level of subsea crane capacity within the Jones Act MPSV fleet. Such cranes will be capable of lifting to an industry leading water depth of 4,000 meters. The vessels will also be outfitted with integrated ROV systems and specialized below-deck tanks allowing them to engage in light well intervention. Once delivered, these two vessels have the potential to contribute significant organic growth to our underlying business and will deepen our strategic diversification across the offshore infrastructure complex. Importantly, our remaining capital expenditures to bring the vessels online are minimal compared to the cost of constructing similar vessels, creating the potential for significant upside to our scale and financial performance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fleet of 59 OSVs transports equipment, materials and supplies to a diverse range of offshore projects. These vessels differ from most other OSVs in the industry in that they provide increased cargo-carrying capacities capable of transporting large quantities of both deck cargoes as well as various liquid and dry bulk cargoes stored in below-deck tanks. Our OSVs are also outfitted with advanced nautical technologies, including DP capabilities that allow them to safely interface with other vessels or offshore fixed or floating assets by maintaining either an absolute or relative station-keeping position while working in rough seas. Given their size, versatility, and advanced technologies, our OSVs can support the full range of “life-of-field” end-markets, including the deepwater and ultra-deepwater oilfield market, where we transport supplies and equipment to support offshore drilling rigs, production platforms, and subsea construction projects, as well as provide ongoing IRM services to existing energy infrastructure. In addition, our OSVs provide offshore support to the U.S. Military, where we transport supplies and provide logistical and other services for training exercises, renewable energy development, where we support the transportation and installation of infrastructure primarily for offshore wind farms, and other non-oilfield applications such as HADR and aerospace support services. By implementing our fleeting strategy, we often package our high- and ultra high-specification OSVs alongside our MPSV fleet to support major projects, creating logistical efficiencies and vessel-bundling opportunities that increase utilization and enhance both our operational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strengths of our OSVs and MPSVs are further enhanced by several complementary shore-based assets and service offerings we have developed since our formation. We own and operate a shore-base facility in Port Fourchon, Louisiana, providing approximately 60 acres and nearly 3,000 linear feet of proprietary dock space capable of providing staging, storage, dispatch, and dockage services for customers and our fleet of vessels. In combination with HOSLIFT, a 7,700 mT floating drydock, we are able to efficiently conduct ongoing maintenance and topside repairs of our vessels, as well as upgrade and replace installed equipment. Our in-house engineering capabilities, comprised of approximately 16 individuals who specialize in naval architecture and marine engineering, provide a point of differentiation from our competitors by allowing us to design, modify and reconfigure vessels tailored to specific jobs and customer requirements. These capabilities are highly valuable in an evolving industry and allow us to quickly respond to dynamic customer needs and capitalize on emerging market opportunities. As an example, we recently completed the conversion of one of our U.S.-flagged HOSMAX 280-class OSVs into a dual-service MPSV capable of operating as either a C/SOV for offshore wind farm development or as a flotel for offshore oilfields. Immediately upon delivery in November 2025, the converted MPSV was placed into active service on a contract providing support to an offshore wind project development off the U.S. East Coast. Finally, we and certain personnel possess government security clearances necessary to participate in U.S. government tendering for highly sensitive, mission-critical projects affecting U.S. national security interests. </w:t>
      </w:r>
    </w:p>
    <w:p>
      <w:pPr>
        <w:pStyle w:val="TextBody"/>
        <w:bidi w:val="0"/>
        <w:spacing w:before="240" w:after="0"/>
        <w:jc w:val="left"/>
        <w:rPr>
          <w:rFonts w:ascii="Times New Roman" w:hAnsi="Times New Roman"/>
          <w:sz w:val="20"/>
        </w:rPr>
      </w:pPr>
      <w:r>
        <w:rPr>
          <w:rFonts w:ascii="Times New Roman" w:hAnsi="Times New Roman"/>
          <w:sz w:val="20"/>
        </w:rPr>
        <w:t xml:space="preserve">At Hornbeck, our mission is to be recognized as the marine transportation and service “Company of Choice” for our customers, employees and investors through innovative, high-quality and value-added business 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delivered with enthusiasm, integrity and professionalism with the utmost regard for safety of individuals and the protection of the environment. With an average of nearly 40 years of experience in the maritime industry, we believe that our executives and senior leadership team have the capabilities to successfully compete in the offshore vessel business and execute the strategy that best positions us to effectively outperform our peers in a demanding and dynamic operating environment. </w:t>
      </w:r>
    </w:p>
    <w:p>
      <w:pPr>
        <w:pStyle w:val="TextBody"/>
        <w:bidi w:val="0"/>
        <w:spacing w:before="240" w:after="0"/>
        <w:jc w:val="left"/>
        <w:rPr>
          <w:rFonts w:ascii="Times New Roman" w:hAnsi="Times New Roman"/>
          <w:sz w:val="20"/>
        </w:rPr>
      </w:pPr>
      <w:r>
        <w:rPr>
          <w:rFonts w:ascii="Times New Roman" w:hAnsi="Times New Roman"/>
          <w:sz w:val="20"/>
        </w:rPr>
        <w:t xml:space="preserve">Our core geographic markets include the United States and Latin America. Across each of these markets, we provide our customers with a range of maritime transportation services covering a variety of customer end-markets. We predominantly serve our oilfield customers in the GoA, the Caribbean, Northern South America and Brazil, while our vessels serving non-oilfield customers primarily operate along the East and West Coasts of the United States and the U.S. GoA. When not operating in Mexico, we operate our Mexican-flagged vessels across the U.S., Caribbean, Northern South America and Brazil, as well as in other international markets, utilizing a highly-skilled workforce of Mexican mariners and shore-side support teams that have been trained in our safety systems and culture. </w:t>
      </w:r>
    </w:p>
    <w:p>
      <w:pPr>
        <w:pStyle w:val="TextBody"/>
        <w:bidi w:val="0"/>
        <w:spacing w:before="240" w:after="0"/>
        <w:jc w:val="left"/>
        <w:rPr>
          <w:rFonts w:ascii="Times New Roman" w:hAnsi="Times New Roman"/>
          <w:sz w:val="20"/>
        </w:rPr>
      </w:pPr>
      <w:r>
        <w:rPr>
          <w:rFonts w:ascii="Times New Roman" w:hAnsi="Times New Roman"/>
          <w:sz w:val="20"/>
        </w:rPr>
        <w:t xml:space="preserve">A map illustrating our active vessel locations as of December 31, 2025, is below: </w:t>
      </w:r>
    </w:p>
    <w:p>
      <w:pPr>
        <w:pStyle w:val="TextBody"/>
        <w:bidi w:val="0"/>
        <w:spacing w:before="0" w:after="0"/>
        <w:jc w:val="left"/>
        <w:rPr/>
      </w:pPr>
      <w:r>
        <w:rPr/>
        <w:t> </w:t>
      </w:r>
    </w:p>
    <w:p>
      <w:pPr>
        <w:pStyle w:val="TextBody"/>
        <w:bidi w:val="0"/>
        <w:spacing w:before="0" w:after="0"/>
        <w:jc w:val="center"/>
        <w:rPr/>
      </w:pPr>
      <w:r>
        <w:rPr/>
        <w:drawing>
          <wp:inline distT="0" distB="0" distL="0" distR="0">
            <wp:extent cx="4831080" cy="5597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831080" cy="55975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Our Competitive Strengths </w:t>
      </w:r>
    </w:p>
    <w:p>
      <w:pPr>
        <w:pStyle w:val="TextBody"/>
        <w:bidi w:val="0"/>
        <w:spacing w:before="120" w:after="0"/>
        <w:jc w:val="left"/>
        <w:rPr>
          <w:rFonts w:ascii="Times New Roman" w:hAnsi="Times New Roman"/>
          <w:b/>
          <w:i/>
          <w:sz w:val="20"/>
        </w:rPr>
      </w:pPr>
      <w:r>
        <w:rPr>
          <w:rFonts w:ascii="Times New Roman" w:hAnsi="Times New Roman"/>
          <w:b/>
          <w:i/>
          <w:sz w:val="20"/>
        </w:rPr>
        <w:t xml:space="preserve">Large and diverse fleet of technologically advanced high-spec and ultra high-spec vessels </w:t>
      </w:r>
    </w:p>
    <w:p>
      <w:pPr>
        <w:pStyle w:val="TextBody"/>
        <w:bidi w:val="0"/>
        <w:spacing w:before="120" w:after="0"/>
        <w:jc w:val="left"/>
        <w:rPr>
          <w:rFonts w:ascii="Times New Roman" w:hAnsi="Times New Roman"/>
          <w:sz w:val="20"/>
        </w:rPr>
      </w:pPr>
      <w:r>
        <w:rPr>
          <w:rFonts w:ascii="Times New Roman" w:hAnsi="Times New Roman"/>
          <w:sz w:val="20"/>
        </w:rPr>
        <w:t xml:space="preserve">Over the past 28 years, we have assembled a multi-class fleet of 59 OSVs and 15 MPSVs through a total of six serial multi-vessel newbuild programs and eight consolidating acquisitions of one or more vessels. Since 2014, we have focused on expanding our line of high-spec and ultra high-spec vessels, increasing our fleet of such vessels from 41% of our fleet in 2014 to nearly 75% of our fleet in 2025. High-spec and ultra high-spec vessels are typically the youngest vessels available in the industry, incorporate sophisticated technologies that are designed specifically to operate safely in complex and challenging environments, and are equipped with specialty equipment and other features to respond to the needs of our customers through the project development and operational lifecycle of an offshore oilfield. These technologies include DP, roll-reduction systems and controllable pitch thrusters, which allow our vessels to maintain a fixed position with minimal variance. Our cargo-handling systems permit high-volume transfer rates of liquid mud and dry bulk materials. In addition, we are able to outfit our vessels with specialty equipment and certain features as needed for specific projects. The greater fuel efficiency, larger cargo-carrying capacity, advanced mud-handling systems and other technical features of our high-spec and ultra high-spec vessels enhance offshore project efficiency and create a compelling value proposition for our customers. As a result of our fleet mix, in-house engineering capabilities, shore-base facility, modular equipment inventory, operations history and market strategies, we believe that we earn higher average dayrates compared to our competitors. According to industry data from Fearnley Offshore Supply, our average dayrates were 41%, 20% and 42% higher than the global average term rates of comparably sized vessels owned by other operators in 2023, 2024, and the nine months ended September 30,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Our active fleet is comprised of some of the newest vessels in the industry with an average remaining life of 21 years based on a 35-year economic useful life. The modern composition of our fleet drives lower maintenance capital requirements and should allow us to maximize both the margin potential and free cash flow generation of our active asset base.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Leading presence in the United States and Latin America </w:t>
      </w:r>
    </w:p>
    <w:p>
      <w:pPr>
        <w:pStyle w:val="TextBody"/>
        <w:bidi w:val="0"/>
        <w:spacing w:before="120" w:after="0"/>
        <w:jc w:val="left"/>
        <w:rPr>
          <w:rFonts w:ascii="Times New Roman" w:hAnsi="Times New Roman"/>
          <w:sz w:val="20"/>
        </w:rPr>
      </w:pPr>
      <w:r>
        <w:rPr>
          <w:rFonts w:ascii="Times New Roman" w:hAnsi="Times New Roman"/>
          <w:sz w:val="20"/>
        </w:rPr>
        <w:t xml:space="preserve">Hornbeck was established in 1997 and has one of the most capable and high-spec fleets of vessels in the industry. Based on publicly-available information compiled by us and data provided by Spinergie, we believe that our fleet of 40 high-spec and ultra high-spec OSVs, totaling 213,019 in DWT capacity, represents 6.1% of the 3,500,541 total DWT capacity of such vessels in the world, making Hornbeck the third largest fleet out of 174 companies that own and operate high-spec or ultra high-spec OSVs worldwide. Furthermore, we believe that our fleet of 14 U.S.-flagged ultra high-spec OSVs, totaling 86,610 in DWT capacity, represents the largest fleet of such vessels in the United States, as measured by DWT capacity. Additionally, we are one of the top operators of OSVs, based on DWT capacity, in each of our two core geographic regions, which includes 2,373,601 DWT capacity and constitutes 41.5% of the total supply of 5,719,354 DWT capacity to such markets. Our 45 U.S.-flagged OSVs, totaling 202,714 in DWT capacity, comprise the second largest fleet of technologically advanced, OSVs qualified for work in the U.S. under the Jones Act. As of December 31, 2025, our active fleet of OSVs and MPSVs consisted of 30 vessels operating in the U.S. and 16 vessels operating in Latin America as follows: (i) 14 U.S.-flagged OSVs, one Mexican-flagged OSV and six MPSVs in the U.S. GoA, (ii) three OSVs and three MPSVs throughout the U.S. Atlantic, (iii) two OSVs and one MPSV in the U.S. Pacific, (iv) nine OSVs offshore Brazil, (v) two OSVs offshore Suriname, (vi) two OSVs offshore Colombia and (vii) two OSVs and one MPSV offshore Mexico. We believe that having scale in our core markets with the flexibility to transfer vessels among proximate regions benefits our customers and provides us with commercial optionality and operating efficiencies.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Diversified service offerings and customer markets provide greater stability to cash flows </w:t>
      </w:r>
    </w:p>
    <w:p>
      <w:pPr>
        <w:pStyle w:val="TextBody"/>
        <w:bidi w:val="0"/>
        <w:spacing w:before="120" w:after="0"/>
        <w:jc w:val="left"/>
        <w:rPr>
          <w:rFonts w:ascii="Times New Roman" w:hAnsi="Times New Roman"/>
          <w:sz w:val="20"/>
        </w:rPr>
      </w:pPr>
      <w:r>
        <w:rPr>
          <w:rFonts w:ascii="Times New Roman" w:hAnsi="Times New Roman"/>
          <w:sz w:val="20"/>
        </w:rPr>
        <w:t xml:space="preserve">We have well-established relationships with leading oilfield and non-oilfield companies, as well as the U.S. government, and believe these recurring customers will continue to require our diversified service offerings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oilfield and non-oilfield markets. Our diversified service offerings allow us to adapt to our customers’ evolving needs and gives our customers confidence to commit to longer-term contracts for our services, in turn providing us greater cash flow stability. Additionally, these large, integrated customers are financially stable and can better withstand economic or market downturns in a volatile market, and we believe maintaining relationships with these long-standing customers will ultimately result in better visibility to vessel utilization and greater liquidity for us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Attractive non-oilfield growth opportunities </w:t>
      </w:r>
    </w:p>
    <w:p>
      <w:pPr>
        <w:pStyle w:val="TextBody"/>
        <w:bidi w:val="0"/>
        <w:spacing w:before="120" w:after="0"/>
        <w:jc w:val="left"/>
        <w:rPr>
          <w:rFonts w:ascii="Times New Roman" w:hAnsi="Times New Roman"/>
          <w:sz w:val="20"/>
        </w:rPr>
      </w:pPr>
      <w:r>
        <w:rPr>
          <w:rFonts w:ascii="Times New Roman" w:hAnsi="Times New Roman"/>
          <w:sz w:val="20"/>
        </w:rPr>
        <w:t xml:space="preserve">Our fleet of technologically advanced high-spec and ultra high-spec vessels is increasingly being deployed to serve the growing needs of the U.S. Military, renewable energy, and aerospace industries. Most of these high-growth markets require U.S.-flagged Jones Act-qualified vessels, which can be custom tailored to address a broad spectrum of services. For these applications, our vessels are typically contracted for more than three years, providing a counter-balance to cyclicality experienced in our oilfield end-markets.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Robust Free Cash Flow Generation Potential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our growing fleet, differentiated business model, diverse service offerings and varied end-customer relationships, we have generated consistently increasing total revenue since 2022 and we believe our fleet quality and commercial strategy will continue to allow us to achieve dayrates and margins in excess of our public peers. Relative to our margins, modest amounts of capital are required to maintain the quality and availability of our vessels. As a result of our financing activities completed in 2024, our balance sheet is conservatively capitalized with ample liquidity and modest amortizing long-term debt with nominal call protection. Together, these components position us to continue generating substantial free cash flow on an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Strong market position due to qualification under the Jones Act </w:t>
      </w:r>
    </w:p>
    <w:p>
      <w:pPr>
        <w:pStyle w:val="TextBody"/>
        <w:bidi w:val="0"/>
        <w:spacing w:before="120" w:after="0"/>
        <w:jc w:val="left"/>
        <w:rPr>
          <w:rFonts w:ascii="Times New Roman" w:hAnsi="Times New Roman"/>
          <w:sz w:val="20"/>
        </w:rPr>
      </w:pPr>
      <w:r>
        <w:rPr>
          <w:rFonts w:ascii="Times New Roman" w:hAnsi="Times New Roman"/>
          <w:sz w:val="20"/>
        </w:rPr>
        <w:t xml:space="preserve">With one of the largest fleets of the most capable and highest capacity Jones Act-qualified vessels, we believe Hornbeck is well-positioned to capitalize on increasing demand for such vessels. The United States has strict cabotage laws that provide insulation from most sources of foreign competition for our U.S. fleet for coastwise services.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Successful track record of strategic newbuild programs and vessel acquisitions </w:t>
      </w:r>
    </w:p>
    <w:p>
      <w:pPr>
        <w:pStyle w:val="TextBody"/>
        <w:bidi w:val="0"/>
        <w:spacing w:before="120" w:after="0"/>
        <w:jc w:val="left"/>
        <w:rPr>
          <w:rFonts w:ascii="Times New Roman" w:hAnsi="Times New Roman"/>
          <w:sz w:val="20"/>
        </w:rPr>
      </w:pPr>
      <w:r>
        <w:rPr>
          <w:rFonts w:ascii="Times New Roman" w:hAnsi="Times New Roman"/>
          <w:sz w:val="20"/>
        </w:rPr>
        <w:t xml:space="preserve">We have assembled our fleet through a combination of strategic newbuilds and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This expertise has aided in the development of two pending newbuild MPSVs set to be delivered in 2027. Given their robust specifications and capabilities, these vessels are expected to provide meaningful revenue contribution in the future with minimal additional growth capital required. From time to time, we consider opportunistic acquisitions of single vessels, vessel fleets, and businesses that strategically complement our existing operations to enable us to grow our business and better serve our customers. Since 2017, we have successfully completed the acquisition of 19 high- and ultra high-spec OSVs. Over that same time period, we have completed the sale of 17 OSVs, all of which were stacked low, mid and high-spec vessels, for aggregate net proceeds of $38.1 million, resulting in an aggregate net gain of $36.4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Complementary Shore-Based Assets and Highly-Skilled In-House Engineering Personnel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fleet of OSVs and MPSVs, we own and operate complementary shore-based infrastructure assets and employ highly-skilled maritime engineering personnel who facilitate maintenance of our vessels and deliver highly customizable solutions for our customers. Central to this differentiated portfolio is HOS Port, a 66-acre shore-based facility in Port Fourchon, Louisiana boasting nearly 3,000 linear feet of proprietary dock space providing staging, storage, dispatch, and dockage services for our fleet. In addition, our HOSLIFT 7,700 mT floating drydock vertically integrates our maintenance regimen, increasing flexibility and providing negotiating leverage with shipyards in the region. HOS Port is also home to HOS Rental Equipment, a portfolio of 52 customization modules that can be deployed in a plug-and-play fashion to efficiently customize our vessels to the needs of a particular project or client. These modules include specialized service equipment including A-frames, winches, and cranes, as well as “Walk-to-Work” gangways and accommodation annexes (e.g., berthing, laundry, galley, office, lounge, and gym facilities). </w:t>
      </w:r>
    </w:p>
    <w:p>
      <w:pPr>
        <w:pStyle w:val="TextBody"/>
        <w:bidi w:val="0"/>
        <w:spacing w:before="240" w:after="0"/>
        <w:jc w:val="left"/>
        <w:rPr>
          <w:rFonts w:ascii="Times New Roman" w:hAnsi="Times New Roman"/>
          <w:sz w:val="20"/>
        </w:rPr>
      </w:pPr>
      <w:r>
        <w:rPr>
          <w:rFonts w:ascii="Times New Roman" w:hAnsi="Times New Roman"/>
          <w:sz w:val="20"/>
        </w:rPr>
        <w:t xml:space="preserve">Our extensive infrastructure and customization modules allow our in-house team of naval architects and marine engineers to design a vessel’s loadout to the exact specifications of a project. This integration provides us with the ability to pursue more diversified end-markets that require bespoke solutions outside of traditional transportation operations. This value proposition was exemplified on the HOS Briarwood where we converted a 310 class Jones Act OSV to a MPSV with berthing for 130 personnel, a 100 mT crane, and an S-92 compatible helideck. The conversion took approximately 207 days and required investment of $13 million. As a result, the average dayrate of this vessel increased from $37,000 per day to $78,000 per day, implying a 1.6-year payback period. When assessed against the cost and timeline of newbuild construction, we are positioned to meet demands that arise in the market more quickly and economically, allowing us to capture value as it arises. </w:t>
      </w:r>
    </w:p>
    <w:p>
      <w:pPr>
        <w:pStyle w:val="TextBody"/>
        <w:bidi w:val="0"/>
        <w:spacing w:before="240" w:after="0"/>
        <w:jc w:val="left"/>
        <w:rPr>
          <w:rFonts w:ascii="Times New Roman" w:hAnsi="Times New Roman"/>
          <w:sz w:val="20"/>
        </w:rPr>
      </w:pPr>
      <w:r>
        <w:rPr>
          <w:rFonts w:ascii="Times New Roman" w:hAnsi="Times New Roman"/>
          <w:sz w:val="20"/>
        </w:rPr>
        <w:t xml:space="preserve">Further, our work with the Government of the United States requires certain levels of security clearances which are difficult to obtain. We and certain personnel possess required clearances to participate in government tendering for certain highly sensitive projects with national security implications.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Experienced management team with proven track record </w:t>
      </w:r>
    </w:p>
    <w:p>
      <w:pPr>
        <w:pStyle w:val="TextBody"/>
        <w:bidi w:val="0"/>
        <w:spacing w:before="120" w:after="0"/>
        <w:jc w:val="left"/>
        <w:rPr>
          <w:rFonts w:ascii="Times New Roman" w:hAnsi="Times New Roman"/>
          <w:sz w:val="20"/>
        </w:rPr>
      </w:pPr>
      <w:r>
        <w:rPr>
          <w:rFonts w:ascii="Times New Roman" w:hAnsi="Times New Roman"/>
          <w:sz w:val="20"/>
        </w:rPr>
        <w:t xml:space="preserve">Our founder-led executive management team has an average of nearly 40 years of domestic and international marine transportation industry-related experience and has worked together at the Company for over 21 years. Our executives are supported by a senior leadership team that we believe has extensive continuity and industry experience that will help to sustain our business and drive long-term growth well into the future. Our team is comprised of individuals with extensive, global experience with backgrounds across many diverse fields including engineering, project management, military service, finance, accounting, tax, legal, risk management and corporate leadership. We believe that our team has successfully demonstrated its ability to grow our fleet through new construction and acquisitions and to secure profitable contracts for our vessels in both favorable and unfavorable market conditions in domestic and foreign markets. </w:t>
      </w:r>
    </w:p>
    <w:p>
      <w:pPr>
        <w:pStyle w:val="TextBody"/>
        <w:bidi w:val="0"/>
        <w:spacing w:before="360" w:after="0"/>
        <w:jc w:val="left"/>
        <w:rPr>
          <w:rFonts w:ascii="Times New Roman" w:hAnsi="Times New Roman"/>
          <w:b/>
          <w:sz w:val="20"/>
        </w:rPr>
      </w:pPr>
      <w:r>
        <w:rPr>
          <w:rFonts w:ascii="Times New Roman" w:hAnsi="Times New Roman"/>
          <w:b/>
          <w:sz w:val="20"/>
        </w:rPr>
        <w:t xml:space="preserve">Our Strategy </w:t>
      </w:r>
    </w:p>
    <w:p>
      <w:pPr>
        <w:pStyle w:val="TextBody"/>
        <w:bidi w:val="0"/>
        <w:spacing w:before="120" w:after="0"/>
        <w:jc w:val="left"/>
        <w:rPr>
          <w:rFonts w:ascii="Times New Roman" w:hAnsi="Times New Roman"/>
          <w:b/>
          <w:i/>
          <w:sz w:val="20"/>
        </w:rPr>
      </w:pPr>
      <w:r>
        <w:rPr>
          <w:rFonts w:ascii="Times New Roman" w:hAnsi="Times New Roman"/>
          <w:b/>
          <w:i/>
          <w:sz w:val="20"/>
        </w:rPr>
        <w:t xml:space="preserve">Pursue differentiated customer offerings to optimize active vessel utilization and free cash flow generation </w:t>
      </w:r>
    </w:p>
    <w:p>
      <w:pPr>
        <w:pStyle w:val="TextBody"/>
        <w:bidi w:val="0"/>
        <w:spacing w:before="120" w:after="0"/>
        <w:jc w:val="left"/>
        <w:rPr>
          <w:rFonts w:ascii="Times New Roman" w:hAnsi="Times New Roman"/>
          <w:sz w:val="20"/>
        </w:rPr>
      </w:pPr>
      <w:r>
        <w:rPr>
          <w:rFonts w:ascii="Times New Roman" w:hAnsi="Times New Roman"/>
          <w:sz w:val="20"/>
        </w:rPr>
        <w:t xml:space="preserve">We seek to balance and diversify our service offerings to customers, to optimize our vessel utilization and stabilize our free cash flow generation. For example, in addition to our long-term charters in oilfield services and with military and renewable energy customers, which contribute to contracted backlog and provide utilization stability, we also seek out short-term charters such as spot oilfield and non-oilfield services that typically have higher dayrates. We believe that Hornbeck is uniquely positioned to execute on this strategy due to the high-spec and diverse nature of our fleet, as well as our ability to quickly adapt vessels to the needs of our customers utilizing our engineering capabilities and shorebase facilities. This contracting strategy balances our financial profile between longer-term charters and the flexibility to capture then prevailing dayrates in a rising market for a portion of our fleet. Our current contracting approach allows us to consistently perform well against our OSV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peers when comparing average OSV dayrates and gross margins. The flexibility of our vessel capabilities is designed to optimize our utilization and allows us to pivot in response to market conditions and customer needs, which can lead to more stable free cash flow generation. We believe the benefits of this contracting strategy are enhanced further in the cabotage-protected geographic locations in which we operate, where our cutting-edge vessels and ability to adapt our fleet stand out even more amongst the more limited set of cabotage-compliant competitors.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Leverage our geographic presence in the United States and Latin America and grow industry leading service capabilities </w:t>
      </w:r>
    </w:p>
    <w:p>
      <w:pPr>
        <w:pStyle w:val="TextBody"/>
        <w:bidi w:val="0"/>
        <w:spacing w:before="120" w:after="0"/>
        <w:jc w:val="left"/>
        <w:rPr>
          <w:rFonts w:ascii="Times New Roman" w:hAnsi="Times New Roman"/>
          <w:sz w:val="20"/>
        </w:rPr>
      </w:pPr>
      <w:r>
        <w:rPr>
          <w:rFonts w:ascii="Times New Roman" w:hAnsi="Times New Roman"/>
          <w:sz w:val="20"/>
        </w:rPr>
        <w:t xml:space="preserve">We have strategically chosen to focus our efforts in two core geographic regions, the United States and Latin America. While the U.S. GoA will continue to be a priority for us, in recent years we expanded our presence in each of the Mexico GoA, the East and West Coasts of the United States, the Caribbean, Northern South America and Brazil, as we anticipate long-term growth in those markets. Given the relative proximity of these markets, we are able to readily move our vessels among them and retain flexibility to relocate those vessels back to the U.S. GoA or into adjacent locations across our operating regions. We believe this allows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25% of the total industry supply of such vessels, as measured by DWT capacity. Our vessels have been adapted to operate in a broad range of oilfield specialty configurations, including flotel services, extended-reach well testing, seismic, deepwater and ultra-deepwater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Apply existing, and develop new, technologies to meet our customers’ vessel needs and expand our fleet offerings </w:t>
      </w:r>
    </w:p>
    <w:p>
      <w:pPr>
        <w:pStyle w:val="TextBody"/>
        <w:bidi w:val="0"/>
        <w:spacing w:before="120" w:after="0"/>
        <w:jc w:val="left"/>
        <w:rPr>
          <w:rFonts w:ascii="Times New Roman" w:hAnsi="Times New Roman"/>
          <w:sz w:val="20"/>
        </w:rPr>
      </w:pPr>
      <w:r>
        <w:rPr>
          <w:rFonts w:ascii="Times New Roman" w:hAnsi="Times New Roman"/>
          <w:sz w:val="20"/>
        </w:rPr>
        <w:t xml:space="preserve">Since our founding, our vessel designs have evolved to incorporate ever-increasing levels of automation, machine-learning and autonomy across vessel systems that are now mostly electronically driven. For example, we leveraged our oilfield DP expertise to develop military applications that the U.S. Navy now consistently utilizes. Using increasing levels of automation and autonomy is now at the heart of our business model and such technologies help to reduce operational risk and enhance safety. Our future technological innovation should allow us to embrace semi- or fully-autonomous vessel operations for defense and commercial operations. Our in-house engineering team has been and will continue to be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oceanographic research, telecommunications and HADR customers. Further, we are readily able to reconfigure or retrofit existing assets with existing or new technology to participate in new customer markets such as offshore wind, aerospace and telecommunications. Specifically, we are currently deploying capital to upgrade certain of our vessels to dual-service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Focus on selective acquisitions that are strategically and financially accretive </w:t>
      </w:r>
    </w:p>
    <w:p>
      <w:pPr>
        <w:pStyle w:val="TextBody"/>
        <w:bidi w:val="0"/>
        <w:spacing w:before="120" w:after="0"/>
        <w:jc w:val="left"/>
        <w:rPr>
          <w:rFonts w:ascii="Times New Roman" w:hAnsi="Times New Roman"/>
          <w:sz w:val="20"/>
        </w:rPr>
      </w:pPr>
      <w:r>
        <w:rPr>
          <w:rFonts w:ascii="Times New Roman" w:hAnsi="Times New Roman"/>
          <w:sz w:val="20"/>
        </w:rPr>
        <w:t xml:space="preserve">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fleets, and businesses that strategically complement our existing operations to enable us to grow our business and better serve our customers. For example, we most recently completed the acquisition of 12 high-spec OSVs, which we refer to as the ECO Acquisitions.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Maintain a conservative balance sheet, disciplined growth, and robust free cash flow generation through cycles </w:t>
      </w:r>
    </w:p>
    <w:p>
      <w:pPr>
        <w:pStyle w:val="TextBody"/>
        <w:bidi w:val="0"/>
        <w:spacing w:before="120" w:after="0"/>
        <w:jc w:val="left"/>
        <w:rPr>
          <w:rFonts w:ascii="Times New Roman" w:hAnsi="Times New Roman"/>
          <w:sz w:val="20"/>
        </w:rPr>
      </w:pPr>
      <w:r>
        <w:rPr>
          <w:rFonts w:ascii="Times New Roman" w:hAnsi="Times New Roman"/>
          <w:sz w:val="20"/>
        </w:rPr>
        <w:t xml:space="preserve">We adhere to financial principles designed to maintain a conservative balance sheet, disciplined growth, and robust free cash flow generation. Our balance sheet strategy targets less than 1.0x financial leverage with ample excess liquidity available to withstand industry cycles or take advantage of attractive growth or commercial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Our growth strategy involves a disciplined screening of opportunities for differentiated assets that create competitive advantages and is focused on attractive returns and payback periods. Our cash flow generation abilities are centered around maintaining flexible costs and lean organizational structures that seek efficiencies through continuous operational improvement and working capital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Continued commitment to stewardship and safety </w:t>
      </w:r>
    </w:p>
    <w:p>
      <w:pPr>
        <w:pStyle w:val="TextBody"/>
        <w:bidi w:val="0"/>
        <w:spacing w:before="120" w:after="0"/>
        <w:jc w:val="left"/>
        <w:rPr>
          <w:rFonts w:ascii="Times New Roman" w:hAnsi="Times New Roman"/>
          <w:sz w:val="20"/>
        </w:rPr>
      </w:pPr>
      <w:r>
        <w:rPr>
          <w:rFonts w:ascii="Times New Roman" w:hAnsi="Times New Roman"/>
          <w:sz w:val="20"/>
        </w:rPr>
        <w:t xml:space="preserve">Safety is of great importance to us and other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GHGs. Additionally, since 2020, our focus on safely addressing operational risk has contributed to maintaining an industry low TRIR. Our most recent 5-year average TRIR was 0.11, outperforming peer averages from the IMCA and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Because DP excellence is a core competency of ours, we recently placed into service a high-tech DP simulator that provides an interactive and immersive training experience for current and future mariners who serve in DPO roles on our vessels. Configured to incorporate the controls and models of the three brands of DP systems that we use on our vessels, as well as to simulate four different specific vessel types and classes within our fleet, this highly customized design affords DPOs the opportunity to train on the same or substantially similar DP systems installed on our vessels. The simulator provides us with a sophisticated training platform from which to safely train our mariners. Our mariners are engaged in a virtual ship-like environment that can subject them to realistic failure situations in a controlled atmosphere, thus facilitating a dynamic learning process. Our DP simulator is designed to make training more efficient, cost effective and risk free, and ultimately provide an optimum outcome for trainees and the Company. The simulator is located at our headquarters in Covington, Louisiana. </w:t>
      </w:r>
    </w:p>
    <w:p>
      <w:pPr>
        <w:pStyle w:val="TextBody"/>
        <w:bidi w:val="0"/>
        <w:spacing w:before="240" w:after="0"/>
        <w:jc w:val="left"/>
        <w:rPr>
          <w:rFonts w:ascii="Times New Roman" w:hAnsi="Times New Roman"/>
          <w:sz w:val="20"/>
        </w:rPr>
      </w:pPr>
      <w:r>
        <w:rPr>
          <w:rFonts w:ascii="Times New Roman" w:hAnsi="Times New Roman"/>
          <w:sz w:val="20"/>
        </w:rPr>
        <w:t xml:space="preserve">We also provide our chief shipmates and other engine-room personnel training on a land-based version of our onboard oily water separator unit, which enhances crew knowledge of a critical environmental safeguard and, we believe, fosters our culture of environmental stewardship and risk mitigation. </w:t>
      </w:r>
    </w:p>
    <w:p>
      <w:pPr>
        <w:pStyle w:val="TextBody"/>
        <w:bidi w:val="0"/>
        <w:spacing w:before="360" w:after="0"/>
        <w:jc w:val="left"/>
        <w:rPr>
          <w:rFonts w:ascii="Times New Roman" w:hAnsi="Times New Roman"/>
          <w:b/>
          <w:sz w:val="20"/>
        </w:rPr>
      </w:pPr>
      <w:r>
        <w:rPr>
          <w:rFonts w:ascii="Times New Roman" w:hAnsi="Times New Roman"/>
          <w:b/>
          <w:sz w:val="20"/>
        </w:rPr>
        <w:t xml:space="preserve">Description of Our Business and Fleet </w:t>
      </w:r>
    </w:p>
    <w:p>
      <w:pPr>
        <w:pStyle w:val="TextBody"/>
        <w:bidi w:val="0"/>
        <w:spacing w:before="120" w:after="0"/>
        <w:jc w:val="left"/>
        <w:rPr>
          <w:rFonts w:ascii="Times New Roman" w:hAnsi="Times New Roman"/>
          <w:sz w:val="20"/>
        </w:rPr>
      </w:pPr>
      <w:r>
        <w:rPr>
          <w:rFonts w:ascii="Times New Roman" w:hAnsi="Times New Roman"/>
          <w:sz w:val="20"/>
        </w:rPr>
        <w:t xml:space="preserve">We own and operates OSVs, MPSVs, and a port facility in Port Fourchon, Louisiana. Our fleet of vessels provide logistics support and specialty services to the offshore oil and gas exploration and production industry, primarily in the GoA, the Caribbean, Northern South America and Brazil, as well as non-oilfield specialty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services for the U.S. military and other non-oilfield service customers primarily from the East and West Coasts of the United States and in the U.S. GoA. Measured by DWT capacity, we believe we have the number one ultra high-spec market position in the U.S., and the third largest fleet of high-spec and ultra high-spec OSVs in the world. Hornbeck has the second largest fleet of high-spec and ultra high-spec Jones Act-qualified OSVs. Hornbeck is the largest U.S. owner of MPSVs, which fleet is comprised of Jones Act-qualified vessels as well as foreign-flagged vessels for both U.S. and foreign operations. We believe that our reputation for safety, superior vessels, internal marine engineering and architectural capabilities combined with our size and scale in certain core markets, enhances our ability to compete for work awarded by oil companies, renewable energy developers, offshore contractors, and the U.S. government, who are among our primary customers. These customers demand a high level of safety and technological advancements to meet regulatory standards and operating policies. </w:t>
      </w:r>
    </w:p>
    <w:p>
      <w:pPr>
        <w:pStyle w:val="TextBody"/>
        <w:bidi w:val="0"/>
        <w:spacing w:before="240" w:after="0"/>
        <w:jc w:val="left"/>
        <w:rPr>
          <w:rFonts w:ascii="Times New Roman" w:hAnsi="Times New Roman"/>
          <w:sz w:val="20"/>
        </w:rPr>
      </w:pPr>
      <w:r>
        <w:rPr>
          <w:rFonts w:ascii="Times New Roman" w:hAnsi="Times New Roman"/>
          <w:sz w:val="20"/>
        </w:rPr>
        <w:t xml:space="preserve">OSVs and MPSVs operate worldwide but are generally concentrated in relatively few offshore regions with high levels of exploration and development activity, such as the GoA,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 however Jones Act MPSVs can perform domestic transportation as part of their services while foreign MPSVs cannot. </w:t>
      </w:r>
    </w:p>
    <w:p>
      <w:pPr>
        <w:pStyle w:val="TextBody"/>
        <w:bidi w:val="0"/>
        <w:spacing w:before="240" w:after="0"/>
        <w:jc w:val="left"/>
        <w:rPr>
          <w:rFonts w:ascii="Times New Roman" w:hAnsi="Times New Roman"/>
          <w:sz w:val="20"/>
        </w:rPr>
      </w:pPr>
      <w:r>
        <w:rPr>
          <w:rFonts w:ascii="Times New Roman" w:hAnsi="Times New Roman"/>
          <w:sz w:val="20"/>
        </w:rPr>
        <w:t xml:space="preserve">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Mexico and Brazil, we have access to shoreside resources and regional crews that we believe give us market advantages compared to international competitors. </w:t>
      </w:r>
    </w:p>
    <w:p>
      <w:pPr>
        <w:pStyle w:val="TextBody"/>
        <w:bidi w:val="0"/>
        <w:spacing w:before="360" w:after="0"/>
        <w:jc w:val="left"/>
        <w:rPr>
          <w:rFonts w:ascii="Times New Roman" w:hAnsi="Times New Roman"/>
          <w:i/>
          <w:sz w:val="20"/>
        </w:rPr>
      </w:pPr>
      <w:r>
        <w:rPr>
          <w:rFonts w:ascii="Times New Roman" w:hAnsi="Times New Roman"/>
          <w:i/>
          <w:sz w:val="20"/>
        </w:rPr>
        <w:t xml:space="preserve">OSVs </w:t>
      </w:r>
    </w:p>
    <w:p>
      <w:pPr>
        <w:pStyle w:val="TextBody"/>
        <w:bidi w:val="0"/>
        <w:spacing w:before="120" w:after="0"/>
        <w:jc w:val="left"/>
        <w:rPr>
          <w:rFonts w:ascii="Times New Roman" w:hAnsi="Times New Roman"/>
          <w:sz w:val="20"/>
        </w:rPr>
      </w:pPr>
      <w:r>
        <w:rPr>
          <w:rFonts w:ascii="Times New Roman" w:hAnsi="Times New Roman"/>
          <w:sz w:val="20"/>
        </w:rPr>
        <w:t xml:space="preserve">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which includes military, alternative energy development (including offshore wind), telecommunications, aerospace and HADR.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High-spec and ultra high-spec OSVs are capable of interfacing with other offshore vessels and facilities through the use of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of DP technology and cargo transport and transfer capability allows OSVs to interface with other offshore facilities and vessels in a safe and efficient manner. </w:t>
      </w:r>
    </w:p>
    <w:p>
      <w:pPr>
        <w:pStyle w:val="TextBody"/>
        <w:bidi w:val="0"/>
        <w:spacing w:before="0" w:after="0"/>
        <w:jc w:val="left"/>
        <w:rPr/>
      </w:pPr>
      <w:r>
        <w:rPr/>
        <w:t> </w:t>
      </w:r>
    </w:p>
    <w:p>
      <w:pPr>
        <w:pStyle w:val="TextBody"/>
        <w:bidi w:val="0"/>
        <w:spacing w:before="0" w:after="0"/>
        <w:jc w:val="center"/>
        <w:rPr/>
      </w:pPr>
      <w:r>
        <w:rPr/>
        <w:drawing>
          <wp:inline distT="0" distB="0" distL="0" distR="0">
            <wp:extent cx="5029200" cy="3281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029200" cy="328104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HOSMAX OSV and MPSV flotel servicing an offshore production facility in the U.S. GoA </w:t>
      </w:r>
    </w:p>
    <w:p>
      <w:pPr>
        <w:pStyle w:val="TextBody"/>
        <w:bidi w:val="0"/>
        <w:spacing w:before="360" w:after="0"/>
        <w:jc w:val="left"/>
        <w:rPr>
          <w:rFonts w:ascii="Times New Roman" w:hAnsi="Times New Roman"/>
          <w:i/>
          <w:sz w:val="20"/>
        </w:rPr>
      </w:pPr>
      <w:r>
        <w:rPr>
          <w:rFonts w:ascii="Times New Roman" w:hAnsi="Times New Roman"/>
          <w:i/>
          <w:sz w:val="20"/>
        </w:rPr>
        <w:t xml:space="preserve">MPSVs </w:t>
      </w:r>
    </w:p>
    <w:p>
      <w:pPr>
        <w:pStyle w:val="TextBody"/>
        <w:bidi w:val="0"/>
        <w:spacing w:before="120" w:after="0"/>
        <w:jc w:val="left"/>
        <w:rPr>
          <w:rFonts w:ascii="Times New Roman" w:hAnsi="Times New Roman"/>
          <w:sz w:val="20"/>
        </w:rPr>
      </w:pPr>
      <w:r>
        <w:rPr>
          <w:rFonts w:ascii="Times New Roman" w:hAnsi="Times New Roman"/>
          <w:sz w:val="20"/>
        </w:rPr>
        <w:t xml:space="preserve">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or ultra-deepwater cranes employing “active heave compensation” technology, one or more ROVs and a helideck. Our MPSVs can also be configured (in accordance with applicable regulations) to support installation, commissioning, maintenance, repairs, improvements, and decommissioning of offshore oilfield facilities and windfarms, HADR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029200" cy="303022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029200" cy="3030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Two HOS MPSVs Deployed in GoA </w:t>
      </w:r>
    </w:p>
    <w:p>
      <w:pPr>
        <w:pStyle w:val="TextBody"/>
        <w:bidi w:val="0"/>
        <w:spacing w:before="360" w:after="0"/>
        <w:jc w:val="left"/>
        <w:rPr>
          <w:rFonts w:ascii="Times New Roman" w:hAnsi="Times New Roman"/>
          <w:i/>
          <w:sz w:val="20"/>
        </w:rPr>
      </w:pPr>
      <w:r>
        <w:rPr>
          <w:rFonts w:ascii="Times New Roman" w:hAnsi="Times New Roman"/>
          <w:i/>
          <w:sz w:val="20"/>
        </w:rPr>
        <w:t xml:space="preserve">Our Vessels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2025, we owned a fleet of 74 vessels, including two partially constructed Jones Act-qualified MPSV newbuilds to be completed pursuant to our settlement with the Surety, as discussed in “Management’s Discussion and Analysis of Financial Condition and Results of Operations—Recent Developments—MPSV Newbuild Construction,” but excluding four vessels formerly owned by us that are now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 ultra high-spec vessels. Since 2017, we have divested 14 of these older and smaller vessels. During that same timeframe, we have acquired a total of 19 high-spec and ultra high-spec vessels. We expect that we will continue to seek charter opportunities to re-purpose our remaining 19 non-high spec vessels, 18 of which are stacked as of December 31, 2025. Alternatively, we may also sell some of these vessels opportunistically. The net effect of these efforts to “right-size” our overall fleet complement has been a shift in the percentage of high-spec and ultra high-spec vessels from 41% to 75% since 2014.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OSV Fleet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illustrates our fleet of OSVs and the nations in which they are flagged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
        <w:gridCol w:w="174"/>
        <w:gridCol w:w="2893"/>
        <w:gridCol w:w="223"/>
        <w:gridCol w:w="456"/>
        <w:gridCol w:w="223"/>
        <w:gridCol w:w="786"/>
        <w:gridCol w:w="223"/>
        <w:gridCol w:w="963"/>
        <w:gridCol w:w="140"/>
        <w:gridCol w:w="646"/>
        <w:gridCol w:w="182"/>
        <w:gridCol w:w="1140"/>
        <w:gridCol w:w="182"/>
        <w:gridCol w:w="1504"/>
      </w:tblGrid>
      <w:tr>
        <w:trPr/>
        <w:tc>
          <w:tcPr>
            <w:tcW w:w="47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537" w:type="dxa"/>
            <w:gridSpan w:val="3"/>
            <w:tcBorders>
              <w:bottom w:val="single" w:sz="8" w:space="0" w:color="000000"/>
            </w:tcBorders>
            <w:tcMar>
              <w:bottom w:w="28" w:type="dxa"/>
            </w:tcMar>
            <w:vAlign w:val="bottom"/>
          </w:tcPr>
          <w:p>
            <w:pPr>
              <w:pStyle w:val="TableContents"/>
              <w:bidi w:val="0"/>
              <w:spacing w:before="0" w:after="283"/>
              <w:jc w:val="center"/>
              <w:rPr>
                <w:b/>
              </w:rPr>
            </w:pPr>
            <w:r>
              <w:rPr>
                <w:b/>
              </w:rPr>
              <w:t>Vessel Class</w:t>
            </w:r>
          </w:p>
        </w:tc>
        <w:tc>
          <w:tcPr>
            <w:tcW w:w="223" w:type="dxa"/>
            <w:tcBorders>
              <w:bottom w:val="single" w:sz="8" w:space="0" w:color="000000"/>
            </w:tcBorders>
            <w:tcMar>
              <w:bottom w:w="28" w:type="dxa"/>
            </w:tcMar>
            <w:vAlign w:val="bottom"/>
          </w:tcPr>
          <w:p>
            <w:pPr>
              <w:pStyle w:val="TableContents"/>
              <w:bidi w:val="0"/>
              <w:spacing w:before="0" w:after="283"/>
              <w:jc w:val="left"/>
              <w:rPr/>
            </w:pPr>
            <w:r>
              <w:rPr/>
              <w:t>  </w:t>
            </w:r>
          </w:p>
        </w:tc>
        <w:tc>
          <w:tcPr>
            <w:tcW w:w="456" w:type="dxa"/>
            <w:tcBorders>
              <w:bottom w:val="single" w:sz="8" w:space="0" w:color="000000"/>
            </w:tcBorders>
            <w:tcMar>
              <w:bottom w:w="28" w:type="dxa"/>
            </w:tcMar>
            <w:vAlign w:val="bottom"/>
          </w:tcPr>
          <w:p>
            <w:pPr>
              <w:pStyle w:val="TableContents"/>
              <w:bidi w:val="0"/>
              <w:spacing w:before="0" w:after="283"/>
              <w:jc w:val="center"/>
              <w:rPr>
                <w:b/>
              </w:rPr>
            </w:pPr>
            <w:r>
              <w:rPr>
                <w:b/>
              </w:rPr>
              <w:t>U.S.</w:t>
            </w:r>
          </w:p>
        </w:tc>
        <w:tc>
          <w:tcPr>
            <w:tcW w:w="223" w:type="dxa"/>
            <w:tcBorders>
              <w:bottom w:val="single" w:sz="8" w:space="0" w:color="000000"/>
            </w:tcBorders>
            <w:tcMar>
              <w:bottom w:w="28" w:type="dxa"/>
            </w:tcMar>
            <w:vAlign w:val="bottom"/>
          </w:tcPr>
          <w:p>
            <w:pPr>
              <w:pStyle w:val="TableContents"/>
              <w:bidi w:val="0"/>
              <w:spacing w:before="0" w:after="283"/>
              <w:jc w:val="left"/>
              <w:rPr/>
            </w:pPr>
            <w:r>
              <w:rPr/>
              <w:t>  </w:t>
            </w:r>
          </w:p>
        </w:tc>
        <w:tc>
          <w:tcPr>
            <w:tcW w:w="786" w:type="dxa"/>
            <w:tcBorders>
              <w:bottom w:val="single" w:sz="8" w:space="0" w:color="000000"/>
            </w:tcBorders>
            <w:tcMar>
              <w:bottom w:w="28" w:type="dxa"/>
            </w:tcMar>
            <w:vAlign w:val="bottom"/>
          </w:tcPr>
          <w:p>
            <w:pPr>
              <w:pStyle w:val="TableContents"/>
              <w:bidi w:val="0"/>
              <w:spacing w:before="0" w:after="283"/>
              <w:jc w:val="center"/>
              <w:rPr>
                <w:b/>
              </w:rPr>
            </w:pPr>
            <w:r>
              <w:rPr>
                <w:b/>
              </w:rPr>
              <w:t>Mexico</w:t>
            </w:r>
          </w:p>
        </w:tc>
        <w:tc>
          <w:tcPr>
            <w:tcW w:w="223" w:type="dxa"/>
            <w:tcBorders>
              <w:bottom w:val="single" w:sz="8" w:space="0" w:color="000000"/>
            </w:tcBorders>
            <w:tcMar>
              <w:bottom w:w="28" w:type="dxa"/>
            </w:tcMar>
            <w:vAlign w:val="bottom"/>
          </w:tcPr>
          <w:p>
            <w:pPr>
              <w:pStyle w:val="TableContents"/>
              <w:bidi w:val="0"/>
              <w:spacing w:before="0" w:after="283"/>
              <w:jc w:val="left"/>
              <w:rPr/>
            </w:pPr>
            <w:r>
              <w:rPr/>
              <w:t>  </w:t>
            </w:r>
          </w:p>
        </w:tc>
        <w:tc>
          <w:tcPr>
            <w:tcW w:w="963" w:type="dxa"/>
            <w:tcBorders>
              <w:bottom w:val="single" w:sz="8" w:space="0" w:color="000000"/>
            </w:tcBorders>
            <w:tcMar>
              <w:bottom w:w="28" w:type="dxa"/>
            </w:tcMar>
            <w:vAlign w:val="bottom"/>
          </w:tcPr>
          <w:p>
            <w:pPr>
              <w:pStyle w:val="TableContents"/>
              <w:bidi w:val="0"/>
              <w:spacing w:before="0" w:after="283"/>
              <w:jc w:val="center"/>
              <w:rPr>
                <w:b/>
              </w:rPr>
            </w:pPr>
            <w:r>
              <w:rPr>
                <w:b/>
              </w:rPr>
              <w:t>Vanuatu</w:t>
            </w:r>
          </w:p>
        </w:tc>
        <w:tc>
          <w:tcPr>
            <w:tcW w:w="140" w:type="dxa"/>
            <w:tcBorders>
              <w:bottom w:val="single" w:sz="8" w:space="0" w:color="000000"/>
            </w:tcBorders>
            <w:tcMar>
              <w:bottom w:w="28" w:type="dxa"/>
            </w:tcMar>
            <w:vAlign w:val="bottom"/>
          </w:tcPr>
          <w:p>
            <w:pPr>
              <w:pStyle w:val="TableContents"/>
              <w:bidi w:val="0"/>
              <w:spacing w:before="0" w:after="283"/>
              <w:jc w:val="left"/>
              <w:rPr/>
            </w:pPr>
            <w:r>
              <w:rPr/>
              <w:t>  </w:t>
            </w:r>
          </w:p>
        </w:tc>
        <w:tc>
          <w:tcPr>
            <w:tcW w:w="646" w:type="dxa"/>
            <w:tcBorders>
              <w:bottom w:val="single" w:sz="8" w:space="0" w:color="000000"/>
            </w:tcBorders>
            <w:tcMar>
              <w:bottom w:w="28" w:type="dxa"/>
            </w:tcMar>
            <w:vAlign w:val="bottom"/>
          </w:tcPr>
          <w:p>
            <w:pPr>
              <w:pStyle w:val="TableContents"/>
              <w:bidi w:val="0"/>
              <w:spacing w:before="0" w:after="283"/>
              <w:jc w:val="center"/>
              <w:rPr>
                <w:b/>
              </w:rPr>
            </w:pPr>
            <w:r>
              <w:rPr>
                <w:b/>
              </w:rPr>
              <w:t>Brazil</w:t>
            </w:r>
          </w:p>
        </w:tc>
        <w:tc>
          <w:tcPr>
            <w:tcW w:w="182" w:type="dxa"/>
            <w:tcBorders>
              <w:bottom w:val="single" w:sz="8" w:space="0" w:color="000000"/>
            </w:tcBorders>
            <w:tcMar>
              <w:bottom w:w="28" w:type="dxa"/>
            </w:tcMar>
            <w:vAlign w:val="bottom"/>
          </w:tcPr>
          <w:p>
            <w:pPr>
              <w:pStyle w:val="TableContents"/>
              <w:bidi w:val="0"/>
              <w:spacing w:before="0" w:after="283"/>
              <w:jc w:val="left"/>
              <w:rPr/>
            </w:pPr>
            <w:r>
              <w:rPr/>
              <w:t>  </w:t>
            </w:r>
          </w:p>
        </w:tc>
        <w:tc>
          <w:tcPr>
            <w:tcW w:w="1140" w:type="dxa"/>
            <w:tcBorders>
              <w:bottom w:val="single" w:sz="8" w:space="0" w:color="000000"/>
            </w:tcBorders>
            <w:tcMar>
              <w:bottom w:w="28" w:type="dxa"/>
            </w:tcMar>
            <w:vAlign w:val="bottom"/>
          </w:tcPr>
          <w:p>
            <w:pPr>
              <w:pStyle w:val="TableContents"/>
              <w:bidi w:val="0"/>
              <w:spacing w:before="0" w:after="283"/>
              <w:jc w:val="center"/>
              <w:rPr>
                <w:b/>
              </w:rPr>
            </w:pPr>
            <w:r>
              <w:rPr>
                <w:b/>
              </w:rPr>
              <w:t>Avg DWT</w:t>
            </w:r>
          </w:p>
        </w:tc>
        <w:tc>
          <w:tcPr>
            <w:tcW w:w="182" w:type="dxa"/>
            <w:tcBorders>
              <w:bottom w:val="single" w:sz="8" w:space="0" w:color="000000"/>
            </w:tcBorders>
            <w:tcMar>
              <w:bottom w:w="28" w:type="dxa"/>
            </w:tcMar>
            <w:vAlign w:val="bottom"/>
          </w:tcPr>
          <w:p>
            <w:pPr>
              <w:pStyle w:val="TableContents"/>
              <w:bidi w:val="0"/>
              <w:spacing w:before="0" w:after="283"/>
              <w:jc w:val="left"/>
              <w:rPr/>
            </w:pPr>
            <w:r>
              <w:rPr/>
              <w:t>  </w:t>
            </w:r>
          </w:p>
        </w:tc>
        <w:tc>
          <w:tcPr>
            <w:tcW w:w="1504" w:type="dxa"/>
            <w:tcBorders>
              <w:bottom w:val="single" w:sz="8" w:space="0" w:color="000000"/>
            </w:tcBorders>
            <w:tcMar>
              <w:bottom w:w="28" w:type="dxa"/>
            </w:tcMar>
            <w:vAlign w:val="bottom"/>
          </w:tcPr>
          <w:p>
            <w:pPr>
              <w:pStyle w:val="TableContents"/>
              <w:bidi w:val="0"/>
              <w:spacing w:before="0" w:after="283"/>
              <w:jc w:val="center"/>
              <w:rPr>
                <w:b/>
              </w:rPr>
            </w:pPr>
            <w:r>
              <w:rPr>
                <w:b/>
              </w:rPr>
              <w:t>Total in Class</w:t>
            </w:r>
          </w:p>
        </w:tc>
      </w:tr>
      <w:tr>
        <w:trPr>
          <w:trHeight w:val="75" w:hRule="atLeast"/>
        </w:trPr>
        <w:tc>
          <w:tcPr>
            <w:tcW w:w="470" w:type="dxa"/>
            <w:tcBorders>
              <w:right w:val="single" w:sz="2" w:space="0" w:color="000000"/>
            </w:tcBorders>
            <w:tcMar>
              <w:right w:w="28" w:type="dxa"/>
            </w:tcMar>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vMerge w:val="restart"/>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20"/>
              <w:jc w:val="center"/>
              <w:rPr/>
            </w:pPr>
            <w:r>
              <w:rPr/>
              <w:drawing>
                <wp:inline distT="0" distB="0" distL="0" distR="0">
                  <wp:extent cx="133985" cy="8750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3985" cy="875030"/>
                          </a:xfrm>
                          <a:prstGeom prst="rect">
                            <a:avLst/>
                          </a:prstGeom>
                        </pic:spPr>
                      </pic:pic>
                    </a:graphicData>
                  </a:graphic>
                </wp:inline>
              </w:drawing>
            </w:r>
            <w:r>
              <w:rPr/>
              <w:t xml:space="preserve"> </w:t>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tcPr>
          <w:p>
            <w:pPr>
              <w:pStyle w:val="TableContents"/>
              <w:bidi w:val="0"/>
              <w:spacing w:before="0" w:after="283"/>
              <w:jc w:val="left"/>
              <w:rPr/>
            </w:pPr>
            <w:r>
              <w:rPr/>
              <w:t>HOSFLEX 370</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pPr>
            <w:r>
              <w:rPr/>
              <w:t>2</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pPr>
            <w:r>
              <w:rPr/>
              <w:t>—</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pPr>
            <w:r>
              <w:rPr/>
              <w:t>—</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pPr>
            <w:r>
              <w:rPr/>
              <w:t>—</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7,886</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pPr>
            <w:r>
              <w:rPr/>
              <w:t>2</w:t>
            </w:r>
          </w:p>
        </w:tc>
      </w:tr>
      <w:tr>
        <w:trPr/>
        <w:tc>
          <w:tcPr>
            <w:tcW w:w="470"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74"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HOSMAX 320</w:t>
            </w:r>
          </w:p>
        </w:tc>
        <w:tc>
          <w:tcPr>
            <w:tcW w:w="223" w:type="dxa"/>
            <w:tcBorders/>
            <w:vAlign w:val="bottom"/>
          </w:tcPr>
          <w:p>
            <w:pPr>
              <w:pStyle w:val="TableContents"/>
              <w:bidi w:val="0"/>
              <w:spacing w:before="0" w:after="283"/>
              <w:jc w:val="left"/>
              <w:rPr/>
            </w:pPr>
            <w:r>
              <w:rPr/>
              <w:t>  </w:t>
            </w:r>
          </w:p>
        </w:tc>
        <w:tc>
          <w:tcPr>
            <w:tcW w:w="456" w:type="dxa"/>
            <w:tcBorders/>
          </w:tcPr>
          <w:p>
            <w:pPr>
              <w:pStyle w:val="TableContents"/>
              <w:bidi w:val="0"/>
              <w:spacing w:before="0" w:after="283"/>
              <w:jc w:val="center"/>
              <w:rPr/>
            </w:pPr>
            <w:r>
              <w:rPr/>
              <w:t>9</w:t>
            </w:r>
          </w:p>
        </w:tc>
        <w:tc>
          <w:tcPr>
            <w:tcW w:w="223"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1</w:t>
            </w:r>
          </w:p>
        </w:tc>
        <w:tc>
          <w:tcPr>
            <w:tcW w:w="223" w:type="dxa"/>
            <w:tcBorders/>
            <w:vAlign w:val="bottom"/>
          </w:tcPr>
          <w:p>
            <w:pPr>
              <w:pStyle w:val="TableContents"/>
              <w:bidi w:val="0"/>
              <w:spacing w:before="0" w:after="283"/>
              <w:jc w:val="left"/>
              <w:rPr/>
            </w:pPr>
            <w:r>
              <w:rPr/>
              <w:t>  </w:t>
            </w:r>
          </w:p>
        </w:tc>
        <w:tc>
          <w:tcPr>
            <w:tcW w:w="963" w:type="dxa"/>
            <w:tcBorders/>
          </w:tcPr>
          <w:p>
            <w:pPr>
              <w:pStyle w:val="TableContents"/>
              <w:bidi w:val="0"/>
              <w:spacing w:before="0" w:after="283"/>
              <w:jc w:val="center"/>
              <w:rPr/>
            </w:pPr>
            <w:r>
              <w:rPr/>
              <w:t>—</w:t>
            </w:r>
          </w:p>
        </w:tc>
        <w:tc>
          <w:tcPr>
            <w:tcW w:w="140"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1140" w:type="dxa"/>
            <w:tcBorders/>
          </w:tcPr>
          <w:p>
            <w:pPr>
              <w:pStyle w:val="TableContents"/>
              <w:bidi w:val="0"/>
              <w:spacing w:before="0" w:after="283"/>
              <w:jc w:val="center"/>
              <w:rPr/>
            </w:pPr>
            <w:r>
              <w:rPr/>
              <w:t>6,052</w:t>
            </w:r>
          </w:p>
        </w:tc>
        <w:tc>
          <w:tcPr>
            <w:tcW w:w="182" w:type="dxa"/>
            <w:tcBorders/>
            <w:vAlign w:val="bottom"/>
          </w:tcPr>
          <w:p>
            <w:pPr>
              <w:pStyle w:val="TableContents"/>
              <w:bidi w:val="0"/>
              <w:spacing w:before="0" w:after="283"/>
              <w:jc w:val="left"/>
              <w:rPr/>
            </w:pPr>
            <w:r>
              <w:rPr/>
              <w:t>  </w:t>
            </w:r>
          </w:p>
        </w:tc>
        <w:tc>
          <w:tcPr>
            <w:tcW w:w="1504" w:type="dxa"/>
            <w:tcBorders/>
          </w:tcPr>
          <w:p>
            <w:pPr>
              <w:pStyle w:val="TableContents"/>
              <w:bidi w:val="0"/>
              <w:spacing w:before="0" w:after="283"/>
              <w:jc w:val="center"/>
              <w:rPr/>
            </w:pPr>
            <w:r>
              <w:rPr/>
              <w:t>10</w:t>
            </w:r>
          </w:p>
        </w:tc>
      </w:tr>
      <w:tr>
        <w:trPr/>
        <w:tc>
          <w:tcPr>
            <w:tcW w:w="470"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tcPr>
          <w:p>
            <w:pPr>
              <w:pStyle w:val="TableContents"/>
              <w:bidi w:val="0"/>
              <w:spacing w:before="0" w:after="283"/>
              <w:jc w:val="left"/>
              <w:rPr/>
            </w:pPr>
            <w:r>
              <w:rPr/>
              <w:t>HOSMAX 310</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pPr>
            <w:r>
              <w:rPr/>
              <w:t>3</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pPr>
            <w:r>
              <w:rPr/>
              <w:t>—</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pPr>
            <w:r>
              <w:rPr/>
              <w:t>—</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pPr>
            <w:r>
              <w:rPr/>
              <w:t>1</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5,921</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pPr>
            <w:r>
              <w:rPr/>
              <w:t>4</w:t>
            </w:r>
          </w:p>
        </w:tc>
      </w:tr>
      <w:tr>
        <w:trPr/>
        <w:tc>
          <w:tcPr>
            <w:tcW w:w="470"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tcMar>
              <w:bottom w:w="28" w:type="dxa"/>
            </w:tcMar>
          </w:tcPr>
          <w:p>
            <w:pPr>
              <w:pStyle w:val="TableContents"/>
              <w:bidi w:val="0"/>
              <w:spacing w:before="0" w:after="283"/>
              <w:jc w:val="left"/>
              <w:rPr/>
            </w:pPr>
            <w:r>
              <w:rPr/>
              <w:t>HOSMAX 300</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tcPr>
          <w:p>
            <w:pPr>
              <w:pStyle w:val="TableContents"/>
              <w:bidi w:val="0"/>
              <w:spacing w:before="0" w:after="283"/>
              <w:jc w:val="center"/>
              <w:rPr/>
            </w:pPr>
            <w:r>
              <w:rPr/>
              <w:t>2</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28" w:type="dxa"/>
            </w:tcMar>
          </w:tcPr>
          <w:p>
            <w:pPr>
              <w:pStyle w:val="TableContents"/>
              <w:bidi w:val="0"/>
              <w:spacing w:before="0" w:after="283"/>
              <w:jc w:val="center"/>
              <w:rPr/>
            </w:pPr>
            <w:r>
              <w:rPr/>
              <w:t>4</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tcMar>
              <w:bottom w:w="28" w:type="dxa"/>
            </w:tcMar>
          </w:tcPr>
          <w:p>
            <w:pPr>
              <w:pStyle w:val="TableContents"/>
              <w:bidi w:val="0"/>
              <w:spacing w:before="0" w:after="283"/>
              <w:jc w:val="center"/>
              <w:rPr/>
            </w:pPr>
            <w:r>
              <w:rPr/>
              <w:t>—</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tcMar>
              <w:bottom w:w="28" w:type="dxa"/>
            </w:tcMar>
          </w:tcPr>
          <w:p>
            <w:pPr>
              <w:pStyle w:val="TableContents"/>
              <w:bidi w:val="0"/>
              <w:spacing w:before="0" w:after="283"/>
              <w:jc w:val="center"/>
              <w:rPr/>
            </w:pPr>
            <w:r>
              <w:rPr/>
              <w:t>—</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tcMar>
              <w:bottom w:w="28" w:type="dxa"/>
            </w:tcMar>
          </w:tcPr>
          <w:p>
            <w:pPr>
              <w:pStyle w:val="TableContents"/>
              <w:bidi w:val="0"/>
              <w:spacing w:before="0" w:after="283"/>
              <w:jc w:val="center"/>
              <w:rPr/>
            </w:pPr>
            <w:r>
              <w:rPr/>
              <w:t>5,472</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tcMar>
              <w:bottom w:w="28" w:type="dxa"/>
            </w:tcMar>
          </w:tcPr>
          <w:p>
            <w:pPr>
              <w:pStyle w:val="TableContents"/>
              <w:bidi w:val="0"/>
              <w:spacing w:before="0" w:after="283"/>
              <w:jc w:val="center"/>
              <w:rPr/>
            </w:pPr>
            <w:r>
              <w:rPr/>
              <w:t>6</w:t>
            </w:r>
          </w:p>
        </w:tc>
      </w:tr>
      <w:tr>
        <w:trPr>
          <w:trHeight w:val="75" w:hRule="atLeast"/>
        </w:trPr>
        <w:tc>
          <w:tcPr>
            <w:tcW w:w="470" w:type="dxa"/>
            <w:tcBorders>
              <w:right w:val="single" w:sz="2" w:space="0" w:color="000000"/>
            </w:tcBorders>
            <w:tcMar>
              <w:right w:w="28" w:type="dxa"/>
            </w:tcMar>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vMerge w:val="restart"/>
            <w:tcBorders>
              <w:bottom w:val="single" w:sz="2" w:space="0" w:color="000000"/>
              <w:right w:val="single" w:sz="2" w:space="0" w:color="000000"/>
            </w:tcBorders>
            <w:shd w:fill="CCEEFF" w:val="clear"/>
            <w:tcMar>
              <w:bottom w:w="28" w:type="dxa"/>
              <w:right w:w="28" w:type="dxa"/>
            </w:tcMar>
            <w:vAlign w:val="center"/>
          </w:tcPr>
          <w:p>
            <w:pPr>
              <w:pStyle w:val="TableContents"/>
              <w:bidi w:val="0"/>
              <w:spacing w:before="0" w:after="283"/>
              <w:jc w:val="center"/>
              <w:rPr/>
            </w:pPr>
            <w:r>
              <w:rPr/>
              <w:drawing>
                <wp:inline distT="0" distB="0" distL="0" distR="0">
                  <wp:extent cx="133985" cy="55372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3985" cy="553720"/>
                          </a:xfrm>
                          <a:prstGeom prst="rect">
                            <a:avLst/>
                          </a:prstGeom>
                        </pic:spPr>
                      </pic:pic>
                    </a:graphicData>
                  </a:graphic>
                </wp:inline>
              </w:drawing>
            </w:r>
            <w:r>
              <w:rPr/>
              <w:t xml:space="preserve"> </w:t>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tcPr>
          <w:p>
            <w:pPr>
              <w:pStyle w:val="TableContents"/>
              <w:bidi w:val="0"/>
              <w:spacing w:before="0" w:after="283"/>
              <w:jc w:val="left"/>
              <w:rPr/>
            </w:pPr>
            <w:r>
              <w:rPr/>
              <w:t>HOSMAX 280</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pPr>
            <w:r>
              <w:rPr/>
              <w:t>12</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pPr>
            <w:r>
              <w:rPr/>
              <w:t>1</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pPr>
            <w:r>
              <w:rPr/>
              <w:t>—</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pPr>
            <w:r>
              <w:rPr/>
              <w:t>1</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4,660</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pPr>
            <w:r>
              <w:rPr/>
              <w:t>14</w:t>
            </w:r>
          </w:p>
        </w:tc>
      </w:tr>
      <w:tr>
        <w:trPr/>
        <w:tc>
          <w:tcPr>
            <w:tcW w:w="470"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74"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HOS 270</w:t>
            </w:r>
          </w:p>
        </w:tc>
        <w:tc>
          <w:tcPr>
            <w:tcW w:w="223" w:type="dxa"/>
            <w:tcBorders/>
            <w:vAlign w:val="bottom"/>
          </w:tcPr>
          <w:p>
            <w:pPr>
              <w:pStyle w:val="TableContents"/>
              <w:bidi w:val="0"/>
              <w:spacing w:before="0" w:after="283"/>
              <w:jc w:val="left"/>
              <w:rPr/>
            </w:pPr>
            <w:r>
              <w:rPr/>
              <w:t>  </w:t>
            </w:r>
          </w:p>
        </w:tc>
        <w:tc>
          <w:tcPr>
            <w:tcW w:w="456" w:type="dxa"/>
            <w:tcBorders/>
          </w:tcPr>
          <w:p>
            <w:pPr>
              <w:pStyle w:val="TableContents"/>
              <w:bidi w:val="0"/>
              <w:spacing w:before="0" w:after="283"/>
              <w:jc w:val="center"/>
              <w:rPr/>
            </w:pPr>
            <w:r>
              <w:rPr/>
              <w:t>—</w:t>
            </w:r>
          </w:p>
        </w:tc>
        <w:tc>
          <w:tcPr>
            <w:tcW w:w="223"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2</w:t>
            </w:r>
          </w:p>
        </w:tc>
        <w:tc>
          <w:tcPr>
            <w:tcW w:w="223" w:type="dxa"/>
            <w:tcBorders/>
            <w:vAlign w:val="bottom"/>
          </w:tcPr>
          <w:p>
            <w:pPr>
              <w:pStyle w:val="TableContents"/>
              <w:bidi w:val="0"/>
              <w:spacing w:before="0" w:after="283"/>
              <w:jc w:val="left"/>
              <w:rPr/>
            </w:pPr>
            <w:r>
              <w:rPr/>
              <w:t>  </w:t>
            </w:r>
          </w:p>
        </w:tc>
        <w:tc>
          <w:tcPr>
            <w:tcW w:w="963" w:type="dxa"/>
            <w:tcBorders/>
          </w:tcPr>
          <w:p>
            <w:pPr>
              <w:pStyle w:val="TableContents"/>
              <w:bidi w:val="0"/>
              <w:spacing w:before="0" w:after="283"/>
              <w:jc w:val="center"/>
              <w:rPr/>
            </w:pPr>
            <w:r>
              <w:rPr/>
              <w:t>—</w:t>
            </w:r>
          </w:p>
        </w:tc>
        <w:tc>
          <w:tcPr>
            <w:tcW w:w="140"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1140" w:type="dxa"/>
            <w:tcBorders/>
          </w:tcPr>
          <w:p>
            <w:pPr>
              <w:pStyle w:val="TableContents"/>
              <w:bidi w:val="0"/>
              <w:spacing w:before="0" w:after="283"/>
              <w:jc w:val="center"/>
              <w:rPr/>
            </w:pPr>
            <w:r>
              <w:rPr/>
              <w:t>3,803</w:t>
            </w:r>
          </w:p>
        </w:tc>
        <w:tc>
          <w:tcPr>
            <w:tcW w:w="182" w:type="dxa"/>
            <w:tcBorders/>
            <w:vAlign w:val="bottom"/>
          </w:tcPr>
          <w:p>
            <w:pPr>
              <w:pStyle w:val="TableContents"/>
              <w:bidi w:val="0"/>
              <w:spacing w:before="0" w:after="283"/>
              <w:jc w:val="left"/>
              <w:rPr/>
            </w:pPr>
            <w:r>
              <w:rPr/>
              <w:t>  </w:t>
            </w:r>
          </w:p>
        </w:tc>
        <w:tc>
          <w:tcPr>
            <w:tcW w:w="1504" w:type="dxa"/>
            <w:tcBorders/>
          </w:tcPr>
          <w:p>
            <w:pPr>
              <w:pStyle w:val="TableContents"/>
              <w:bidi w:val="0"/>
              <w:spacing w:before="0" w:after="283"/>
              <w:jc w:val="center"/>
              <w:rPr/>
            </w:pPr>
            <w:r>
              <w:rPr/>
              <w:t>2</w:t>
            </w:r>
          </w:p>
        </w:tc>
      </w:tr>
      <w:tr>
        <w:trPr/>
        <w:tc>
          <w:tcPr>
            <w:tcW w:w="470"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7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shd w:fill="CCEEFF" w:val="clear"/>
            <w:tcMar>
              <w:bottom w:w="28" w:type="dxa"/>
            </w:tcMar>
          </w:tcPr>
          <w:p>
            <w:pPr>
              <w:pStyle w:val="TableContents"/>
              <w:bidi w:val="0"/>
              <w:spacing w:before="0" w:after="283"/>
              <w:jc w:val="left"/>
              <w:rPr/>
            </w:pPr>
            <w:r>
              <w:rPr/>
              <w:t>HOS 265</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shd w:fill="CCEEFF" w:val="clear"/>
            <w:tcMar>
              <w:bottom w:w="28" w:type="dxa"/>
            </w:tcMar>
          </w:tcPr>
          <w:p>
            <w:pPr>
              <w:pStyle w:val="TableContents"/>
              <w:bidi w:val="0"/>
              <w:spacing w:before="0" w:after="283"/>
              <w:jc w:val="center"/>
              <w:rPr/>
            </w:pPr>
            <w:r>
              <w:rPr/>
              <w:t>2</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8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shd w:fill="CCEEFF" w:val="clear"/>
            <w:tcMar>
              <w:bottom w:w="28" w:type="dxa"/>
            </w:tcMar>
          </w:tcPr>
          <w:p>
            <w:pPr>
              <w:pStyle w:val="TableContents"/>
              <w:bidi w:val="0"/>
              <w:spacing w:before="0" w:after="283"/>
              <w:jc w:val="center"/>
              <w:rPr/>
            </w:pPr>
            <w:r>
              <w:rPr/>
              <w:t>3,687</w:t>
            </w:r>
          </w:p>
        </w:tc>
        <w:tc>
          <w:tcPr>
            <w:tcW w:w="18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shd w:fill="CCEEFF" w:val="clear"/>
            <w:tcMar>
              <w:bottom w:w="28" w:type="dxa"/>
            </w:tcMar>
          </w:tcPr>
          <w:p>
            <w:pPr>
              <w:pStyle w:val="TableContents"/>
              <w:bidi w:val="0"/>
              <w:spacing w:before="0" w:after="283"/>
              <w:jc w:val="center"/>
              <w:rPr/>
            </w:pPr>
            <w:r>
              <w:rPr/>
              <w:t>2</w:t>
            </w:r>
          </w:p>
        </w:tc>
      </w:tr>
      <w:tr>
        <w:trPr>
          <w:trHeight w:val="75" w:hRule="atLeast"/>
        </w:trPr>
        <w:tc>
          <w:tcPr>
            <w:tcW w:w="470" w:type="dxa"/>
            <w:tcBorders>
              <w:right w:val="single" w:sz="2" w:space="0" w:color="000000"/>
            </w:tcBorders>
            <w:tcMar>
              <w:right w:w="28" w:type="dxa"/>
            </w:tcMar>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vMerge w:val="restart"/>
            <w:tcBorders>
              <w:bottom w:val="single" w:sz="2" w:space="0" w:color="000000"/>
              <w:right w:val="single" w:sz="2" w:space="0" w:color="000000"/>
            </w:tcBorders>
            <w:tcMar>
              <w:bottom w:w="28" w:type="dxa"/>
              <w:right w:w="28" w:type="dxa"/>
            </w:tcMar>
            <w:vAlign w:val="center"/>
          </w:tcPr>
          <w:p>
            <w:pPr>
              <w:pStyle w:val="TableContents"/>
              <w:bidi w:val="0"/>
              <w:spacing w:before="0" w:after="283"/>
              <w:jc w:val="center"/>
              <w:rPr/>
            </w:pPr>
            <w:r>
              <w:rPr/>
              <w:drawing>
                <wp:inline distT="0" distB="0" distL="0" distR="0">
                  <wp:extent cx="170815" cy="3975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0815" cy="397510"/>
                          </a:xfrm>
                          <a:prstGeom prst="rect">
                            <a:avLst/>
                          </a:prstGeom>
                        </pic:spPr>
                      </pic:pic>
                    </a:graphicData>
                  </a:graphic>
                </wp:inline>
              </w:drawing>
            </w:r>
            <w:r>
              <w:rPr/>
              <w:t xml:space="preserve"> </w:t>
            </w:r>
          </w:p>
        </w:tc>
        <w:tc>
          <w:tcPr>
            <w:tcW w:w="174" w:type="dxa"/>
            <w:tcBorders/>
            <w:vAlign w:val="bottom"/>
          </w:tcPr>
          <w:p>
            <w:pPr>
              <w:pStyle w:val="TableContents"/>
              <w:bidi w:val="0"/>
              <w:spacing w:before="0" w:after="283"/>
              <w:jc w:val="left"/>
              <w:rPr/>
            </w:pPr>
            <w:r>
              <w:rPr/>
              <w:t> </w:t>
            </w:r>
          </w:p>
        </w:tc>
        <w:tc>
          <w:tcPr>
            <w:tcW w:w="2893" w:type="dxa"/>
            <w:tcBorders/>
          </w:tcPr>
          <w:p>
            <w:pPr>
              <w:pStyle w:val="TableContents"/>
              <w:bidi w:val="0"/>
              <w:spacing w:before="0" w:after="283"/>
              <w:jc w:val="left"/>
              <w:rPr/>
            </w:pPr>
            <w:r>
              <w:rPr/>
              <w:t>HOS 250</w:t>
            </w:r>
          </w:p>
        </w:tc>
        <w:tc>
          <w:tcPr>
            <w:tcW w:w="223" w:type="dxa"/>
            <w:tcBorders/>
            <w:vAlign w:val="bottom"/>
          </w:tcPr>
          <w:p>
            <w:pPr>
              <w:pStyle w:val="TableContents"/>
              <w:bidi w:val="0"/>
              <w:spacing w:before="0" w:after="283"/>
              <w:jc w:val="left"/>
              <w:rPr/>
            </w:pPr>
            <w:r>
              <w:rPr/>
              <w:t>  </w:t>
            </w:r>
          </w:p>
        </w:tc>
        <w:tc>
          <w:tcPr>
            <w:tcW w:w="456" w:type="dxa"/>
            <w:tcBorders/>
          </w:tcPr>
          <w:p>
            <w:pPr>
              <w:pStyle w:val="TableContents"/>
              <w:bidi w:val="0"/>
              <w:spacing w:before="0" w:after="283"/>
              <w:jc w:val="center"/>
              <w:rPr/>
            </w:pPr>
            <w:r>
              <w:rPr/>
              <w:t>3</w:t>
            </w:r>
          </w:p>
        </w:tc>
        <w:tc>
          <w:tcPr>
            <w:tcW w:w="223" w:type="dxa"/>
            <w:tcBorders/>
            <w:vAlign w:val="bottom"/>
          </w:tcPr>
          <w:p>
            <w:pPr>
              <w:pStyle w:val="TableContents"/>
              <w:bidi w:val="0"/>
              <w:spacing w:before="0" w:after="283"/>
              <w:jc w:val="left"/>
              <w:rPr/>
            </w:pPr>
            <w:r>
              <w:rPr/>
              <w:t>  </w:t>
            </w:r>
          </w:p>
        </w:tc>
        <w:tc>
          <w:tcPr>
            <w:tcW w:w="786" w:type="dxa"/>
            <w:tcBorders/>
          </w:tcPr>
          <w:p>
            <w:pPr>
              <w:pStyle w:val="TableContents"/>
              <w:bidi w:val="0"/>
              <w:spacing w:before="0" w:after="283"/>
              <w:jc w:val="center"/>
              <w:rPr/>
            </w:pPr>
            <w:r>
              <w:rPr/>
              <w:t>—</w:t>
            </w:r>
          </w:p>
        </w:tc>
        <w:tc>
          <w:tcPr>
            <w:tcW w:w="223" w:type="dxa"/>
            <w:tcBorders/>
            <w:vAlign w:val="bottom"/>
          </w:tcPr>
          <w:p>
            <w:pPr>
              <w:pStyle w:val="TableContents"/>
              <w:bidi w:val="0"/>
              <w:spacing w:before="0" w:after="283"/>
              <w:jc w:val="left"/>
              <w:rPr/>
            </w:pPr>
            <w:r>
              <w:rPr/>
              <w:t>  </w:t>
            </w:r>
          </w:p>
        </w:tc>
        <w:tc>
          <w:tcPr>
            <w:tcW w:w="963" w:type="dxa"/>
            <w:tcBorders/>
          </w:tcPr>
          <w:p>
            <w:pPr>
              <w:pStyle w:val="TableContents"/>
              <w:bidi w:val="0"/>
              <w:spacing w:before="0" w:after="283"/>
              <w:jc w:val="center"/>
              <w:rPr/>
            </w:pPr>
            <w:r>
              <w:rPr/>
              <w:t>—</w:t>
            </w:r>
          </w:p>
        </w:tc>
        <w:tc>
          <w:tcPr>
            <w:tcW w:w="140" w:type="dxa"/>
            <w:tcBorders/>
            <w:vAlign w:val="bottom"/>
          </w:tcPr>
          <w:p>
            <w:pPr>
              <w:pStyle w:val="TableContents"/>
              <w:bidi w:val="0"/>
              <w:spacing w:before="0" w:after="283"/>
              <w:jc w:val="left"/>
              <w:rPr/>
            </w:pPr>
            <w:r>
              <w:rPr/>
              <w:t>  </w:t>
            </w:r>
          </w:p>
        </w:tc>
        <w:tc>
          <w:tcPr>
            <w:tcW w:w="646" w:type="dxa"/>
            <w:tcBorders/>
          </w:tcPr>
          <w:p>
            <w:pPr>
              <w:pStyle w:val="TableContents"/>
              <w:bidi w:val="0"/>
              <w:spacing w:before="0" w:after="283"/>
              <w:jc w:val="center"/>
              <w:rPr/>
            </w:pPr>
            <w:r>
              <w:rPr/>
              <w:t>—</w:t>
            </w:r>
          </w:p>
        </w:tc>
        <w:tc>
          <w:tcPr>
            <w:tcW w:w="182" w:type="dxa"/>
            <w:tcBorders/>
            <w:vAlign w:val="bottom"/>
          </w:tcPr>
          <w:p>
            <w:pPr>
              <w:pStyle w:val="TableContents"/>
              <w:bidi w:val="0"/>
              <w:spacing w:before="0" w:after="283"/>
              <w:jc w:val="left"/>
              <w:rPr/>
            </w:pPr>
            <w:r>
              <w:rPr/>
              <w:t>  </w:t>
            </w:r>
          </w:p>
        </w:tc>
        <w:tc>
          <w:tcPr>
            <w:tcW w:w="1140" w:type="dxa"/>
            <w:tcBorders/>
          </w:tcPr>
          <w:p>
            <w:pPr>
              <w:pStyle w:val="TableContents"/>
              <w:bidi w:val="0"/>
              <w:spacing w:before="0" w:after="283"/>
              <w:jc w:val="center"/>
              <w:rPr/>
            </w:pPr>
            <w:r>
              <w:rPr/>
              <w:t>2,713</w:t>
            </w:r>
          </w:p>
        </w:tc>
        <w:tc>
          <w:tcPr>
            <w:tcW w:w="182" w:type="dxa"/>
            <w:tcBorders/>
            <w:vAlign w:val="bottom"/>
          </w:tcPr>
          <w:p>
            <w:pPr>
              <w:pStyle w:val="TableContents"/>
              <w:bidi w:val="0"/>
              <w:spacing w:before="0" w:after="283"/>
              <w:jc w:val="left"/>
              <w:rPr/>
            </w:pPr>
            <w:r>
              <w:rPr/>
              <w:t>  </w:t>
            </w:r>
          </w:p>
        </w:tc>
        <w:tc>
          <w:tcPr>
            <w:tcW w:w="1504" w:type="dxa"/>
            <w:tcBorders/>
          </w:tcPr>
          <w:p>
            <w:pPr>
              <w:pStyle w:val="TableContents"/>
              <w:bidi w:val="0"/>
              <w:spacing w:before="0" w:after="283"/>
              <w:jc w:val="center"/>
              <w:rPr/>
            </w:pPr>
            <w:r>
              <w:rPr/>
              <w:t>3</w:t>
            </w:r>
          </w:p>
        </w:tc>
      </w:tr>
      <w:tr>
        <w:trPr/>
        <w:tc>
          <w:tcPr>
            <w:tcW w:w="470" w:type="dxa"/>
            <w:vMerge w:val="continue"/>
            <w:tcBorders>
              <w:bottom w:val="single" w:sz="2" w:space="0" w:color="000000"/>
              <w:right w:val="single" w:sz="2" w:space="0" w:color="000000"/>
            </w:tcBorders>
            <w:shd w:fill="CCEEFF" w:val="clear"/>
            <w:tcMar>
              <w:bottom w:w="28" w:type="dxa"/>
              <w:right w:w="28" w:type="dxa"/>
            </w:tcMar>
            <w:vAlign w:val="center"/>
          </w:tcPr>
          <w:p>
            <w:pPr>
              <w:pStyle w:val="Normal"/>
              <w:bidi w:val="0"/>
              <w:jc w:val="left"/>
              <w:rPr/>
            </w:pPr>
            <w:r>
              <w:rPr/>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vAlign w:val="center"/>
          </w:tcPr>
          <w:p>
            <w:pPr>
              <w:pStyle w:val="TableContents"/>
              <w:bidi w:val="0"/>
              <w:spacing w:before="0" w:after="283"/>
              <w:jc w:val="left"/>
              <w:rPr/>
            </w:pPr>
            <w:r>
              <w:rPr/>
              <w:t>HOS 240</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pPr>
            <w:r>
              <w:rPr/>
              <w:t>12</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pPr>
            <w:r>
              <w:rPr/>
              <w:t>2</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pPr>
            <w:r>
              <w:rPr/>
              <w:t>—</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pPr>
            <w:r>
              <w:rPr/>
              <w:t>—</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2,712</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pPr>
            <w:r>
              <w:rPr/>
              <w:t>14</w:t>
            </w:r>
          </w:p>
        </w:tc>
      </w:tr>
      <w:tr>
        <w:trPr/>
        <w:tc>
          <w:tcPr>
            <w:tcW w:w="470" w:type="dxa"/>
            <w:vMerge w:val="continue"/>
            <w:tcBorders>
              <w:bottom w:val="single" w:sz="2" w:space="0" w:color="000000"/>
              <w:right w:val="single" w:sz="2" w:space="0" w:color="000000"/>
            </w:tcBorders>
            <w:tcMar>
              <w:bottom w:w="28" w:type="dxa"/>
              <w:right w:w="28" w:type="dxa"/>
            </w:tcMar>
            <w:vAlign w:val="center"/>
          </w:tcPr>
          <w:p>
            <w:pPr>
              <w:pStyle w:val="Normal"/>
              <w:bidi w:val="0"/>
              <w:jc w:val="left"/>
              <w:rPr/>
            </w:pPr>
            <w:r>
              <w:rPr/>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tcMar>
              <w:bottom w:w="28" w:type="dxa"/>
            </w:tcMar>
          </w:tcPr>
          <w:p>
            <w:pPr>
              <w:pStyle w:val="TableContents"/>
              <w:bidi w:val="0"/>
              <w:spacing w:before="0" w:after="283"/>
              <w:jc w:val="left"/>
              <w:rPr/>
            </w:pPr>
            <w:r>
              <w:rPr/>
              <w:t>HOS 200</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tcPr>
          <w:p>
            <w:pPr>
              <w:pStyle w:val="TableContents"/>
              <w:bidi w:val="0"/>
              <w:spacing w:before="0" w:after="283"/>
              <w:jc w:val="center"/>
              <w:rPr/>
            </w:pPr>
            <w:r>
              <w:rPr/>
              <w:t>—</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28" w:type="dxa"/>
            </w:tcMar>
          </w:tcPr>
          <w:p>
            <w:pPr>
              <w:pStyle w:val="TableContents"/>
              <w:bidi w:val="0"/>
              <w:spacing w:before="0" w:after="283"/>
              <w:jc w:val="center"/>
              <w:rPr/>
            </w:pPr>
            <w:r>
              <w:rPr/>
              <w:t>—</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tcMar>
              <w:bottom w:w="28" w:type="dxa"/>
            </w:tcMar>
          </w:tcPr>
          <w:p>
            <w:pPr>
              <w:pStyle w:val="TableContents"/>
              <w:bidi w:val="0"/>
              <w:spacing w:before="0" w:after="283"/>
              <w:jc w:val="center"/>
              <w:rPr/>
            </w:pPr>
            <w:r>
              <w:rPr/>
              <w:t>2</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tcMar>
              <w:bottom w:w="28" w:type="dxa"/>
            </w:tcMar>
          </w:tcPr>
          <w:p>
            <w:pPr>
              <w:pStyle w:val="TableContents"/>
              <w:bidi w:val="0"/>
              <w:spacing w:before="0" w:after="283"/>
              <w:jc w:val="center"/>
              <w:rPr/>
            </w:pPr>
            <w:r>
              <w:rPr/>
              <w:t>—</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tcMar>
              <w:bottom w:w="28" w:type="dxa"/>
            </w:tcMar>
          </w:tcPr>
          <w:p>
            <w:pPr>
              <w:pStyle w:val="TableContents"/>
              <w:bidi w:val="0"/>
              <w:spacing w:before="0" w:after="283"/>
              <w:jc w:val="center"/>
              <w:rPr/>
            </w:pPr>
            <w:r>
              <w:rPr/>
              <w:t>1,729</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tcMar>
              <w:bottom w:w="28" w:type="dxa"/>
            </w:tcMar>
          </w:tcPr>
          <w:p>
            <w:pPr>
              <w:pStyle w:val="TableContents"/>
              <w:bidi w:val="0"/>
              <w:spacing w:before="0" w:after="283"/>
              <w:jc w:val="center"/>
              <w:rPr/>
            </w:pPr>
            <w:r>
              <w:rPr/>
              <w:t>2</w:t>
            </w:r>
          </w:p>
        </w:tc>
      </w:tr>
      <w:tr>
        <w:trPr>
          <w:trHeight w:val="75" w:hRule="atLeast"/>
        </w:trPr>
        <w:tc>
          <w:tcPr>
            <w:tcW w:w="470" w:type="dxa"/>
            <w:tcBorders/>
            <w:vAlign w:val="center"/>
          </w:tcPr>
          <w:p>
            <w:pPr>
              <w:pStyle w:val="TableContents"/>
              <w:bidi w:val="0"/>
              <w:spacing w:before="0" w:after="283"/>
              <w:jc w:val="left"/>
              <w:rPr>
                <w:sz w:val="4"/>
                <w:szCs w:val="4"/>
              </w:rPr>
            </w:pPr>
            <w:r>
              <w:rPr>
                <w:sz w:val="4"/>
                <w:szCs w:val="4"/>
              </w:rPr>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shd w:fill="CCEEFF" w:val="clear"/>
            <w:tcMar>
              <w:bottom w:w="28" w:type="dxa"/>
            </w:tcMar>
          </w:tcPr>
          <w:p>
            <w:pPr>
              <w:pStyle w:val="TableContents"/>
              <w:bidi w:val="0"/>
              <w:spacing w:before="0" w:after="283"/>
              <w:jc w:val="left"/>
              <w:rPr>
                <w:b/>
              </w:rPr>
            </w:pPr>
            <w:r>
              <w:rPr>
                <w:b/>
              </w:rPr>
              <w:t>Total Owned OSVs</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shd w:fill="CCEEFF" w:val="clear"/>
            <w:tcMar>
              <w:bottom w:w="28" w:type="dxa"/>
            </w:tcMar>
          </w:tcPr>
          <w:p>
            <w:pPr>
              <w:pStyle w:val="TableContents"/>
              <w:bidi w:val="0"/>
              <w:spacing w:before="0" w:after="283"/>
              <w:jc w:val="center"/>
              <w:rPr>
                <w:b/>
              </w:rPr>
            </w:pPr>
            <w:r>
              <w:rPr>
                <w:b/>
              </w:rPr>
              <w:t>45</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shd w:fill="CCEEFF" w:val="clear"/>
            <w:tcMar>
              <w:bottom w:w="28" w:type="dxa"/>
            </w:tcMar>
          </w:tcPr>
          <w:p>
            <w:pPr>
              <w:pStyle w:val="TableContents"/>
              <w:bidi w:val="0"/>
              <w:spacing w:before="0" w:after="283"/>
              <w:jc w:val="center"/>
              <w:rPr>
                <w:b/>
              </w:rPr>
            </w:pPr>
            <w:r>
              <w:rPr>
                <w:b/>
              </w:rPr>
              <w:t>10</w:t>
            </w:r>
          </w:p>
        </w:tc>
        <w:tc>
          <w:tcPr>
            <w:tcW w:w="2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shd w:fill="CCEEFF" w:val="clear"/>
            <w:tcMar>
              <w:bottom w:w="28" w:type="dxa"/>
            </w:tcMar>
          </w:tcPr>
          <w:p>
            <w:pPr>
              <w:pStyle w:val="TableContents"/>
              <w:bidi w:val="0"/>
              <w:spacing w:before="0" w:after="283"/>
              <w:jc w:val="center"/>
              <w:rPr>
                <w:b/>
              </w:rPr>
            </w:pPr>
            <w:r>
              <w:rPr>
                <w:b/>
              </w:rPr>
              <w:t>2</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shd w:fill="CCEEFF" w:val="clear"/>
            <w:tcMar>
              <w:bottom w:w="28" w:type="dxa"/>
            </w:tcMar>
          </w:tcPr>
          <w:p>
            <w:pPr>
              <w:pStyle w:val="TableContents"/>
              <w:bidi w:val="0"/>
              <w:spacing w:before="0" w:after="283"/>
              <w:jc w:val="center"/>
              <w:rPr>
                <w:b/>
              </w:rPr>
            </w:pPr>
            <w:r>
              <w:rPr>
                <w:b/>
              </w:rPr>
              <w:t>2</w:t>
            </w:r>
          </w:p>
        </w:tc>
        <w:tc>
          <w:tcPr>
            <w:tcW w:w="18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shd w:fill="CCEEFF" w:val="clear"/>
            <w:tcMar>
              <w:bottom w:w="28" w:type="dxa"/>
            </w:tcMar>
          </w:tcPr>
          <w:p>
            <w:pPr>
              <w:pStyle w:val="TableContents"/>
              <w:bidi w:val="0"/>
              <w:spacing w:before="0" w:after="283"/>
              <w:jc w:val="center"/>
              <w:rPr/>
            </w:pPr>
            <w:r>
              <w:rPr/>
              <w:t>—</w:t>
            </w:r>
          </w:p>
        </w:tc>
        <w:tc>
          <w:tcPr>
            <w:tcW w:w="18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shd w:fill="CCEEFF" w:val="clear"/>
            <w:tcMar>
              <w:bottom w:w="28" w:type="dxa"/>
            </w:tcMar>
          </w:tcPr>
          <w:p>
            <w:pPr>
              <w:pStyle w:val="TableContents"/>
              <w:bidi w:val="0"/>
              <w:spacing w:before="0" w:after="283"/>
              <w:jc w:val="center"/>
              <w:rPr>
                <w:b/>
              </w:rPr>
            </w:pPr>
            <w:r>
              <w:rPr>
                <w:b/>
              </w:rPr>
              <w:t>59(2)</w:t>
            </w:r>
          </w:p>
        </w:tc>
      </w:tr>
      <w:tr>
        <w:trPr>
          <w:trHeight w:val="75" w:hRule="atLeast"/>
        </w:trPr>
        <w:tc>
          <w:tcPr>
            <w:tcW w:w="470" w:type="dxa"/>
            <w:tcBorders>
              <w:right w:val="single" w:sz="2" w:space="0" w:color="000000"/>
            </w:tcBorders>
            <w:tcMar>
              <w:right w:w="28" w:type="dxa"/>
            </w:tcMar>
            <w:vAlign w:val="center"/>
          </w:tcPr>
          <w:p>
            <w:pPr>
              <w:pStyle w:val="TableContents"/>
              <w:bidi w:val="0"/>
              <w:spacing w:before="0" w:after="283"/>
              <w:jc w:val="left"/>
              <w:rPr/>
            </w:pPr>
            <w:r>
              <w:rPr/>
              <w:t> </w:t>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drawing>
                <wp:inline distT="0" distB="0" distL="0" distR="0">
                  <wp:extent cx="137160" cy="5264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7160" cy="526415"/>
                          </a:xfrm>
                          <a:prstGeom prst="rect">
                            <a:avLst/>
                          </a:prstGeom>
                        </pic:spPr>
                      </pic:pic>
                    </a:graphicData>
                  </a:graphic>
                </wp:inline>
              </w:drawing>
            </w:r>
            <w:r>
              <w:rPr/>
              <w:t xml:space="preserve"> </w:t>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2893" w:type="dxa"/>
            <w:tcBorders>
              <w:bottom w:val="single" w:sz="2" w:space="0" w:color="000000"/>
            </w:tcBorders>
            <w:tcMar>
              <w:bottom w:w="28" w:type="dxa"/>
            </w:tcMar>
            <w:vAlign w:val="center"/>
          </w:tcPr>
          <w:p>
            <w:pPr>
              <w:pStyle w:val="TableContents"/>
              <w:bidi w:val="0"/>
              <w:spacing w:before="0" w:after="283"/>
              <w:jc w:val="left"/>
              <w:rPr/>
            </w:pPr>
            <w:r>
              <w:rPr/>
              <w:t>USN T-AGSE</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center"/>
          </w:tcPr>
          <w:p>
            <w:pPr>
              <w:pStyle w:val="TableContents"/>
              <w:bidi w:val="0"/>
              <w:spacing w:before="0" w:after="283"/>
              <w:jc w:val="center"/>
              <w:rPr/>
            </w:pPr>
            <w:r>
              <w:rPr/>
              <w:t>4</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28" w:type="dxa"/>
            </w:tcMar>
            <w:vAlign w:val="center"/>
          </w:tcPr>
          <w:p>
            <w:pPr>
              <w:pStyle w:val="TableContents"/>
              <w:bidi w:val="0"/>
              <w:spacing w:before="0" w:after="283"/>
              <w:jc w:val="center"/>
              <w:rPr/>
            </w:pPr>
            <w:r>
              <w:rPr/>
              <w:t>—</w:t>
            </w:r>
          </w:p>
        </w:tc>
        <w:tc>
          <w:tcPr>
            <w:tcW w:w="223" w:type="dxa"/>
            <w:tcBorders>
              <w:bottom w:val="single" w:sz="2" w:space="0" w:color="000000"/>
            </w:tcBorders>
            <w:tcMar>
              <w:bottom w:w="28" w:type="dxa"/>
            </w:tcMar>
            <w:vAlign w:val="bottom"/>
          </w:tcPr>
          <w:p>
            <w:pPr>
              <w:pStyle w:val="TableContents"/>
              <w:bidi w:val="0"/>
              <w:spacing w:before="0" w:after="283"/>
              <w:jc w:val="left"/>
              <w:rPr/>
            </w:pPr>
            <w:r>
              <w:rPr/>
              <w:t>  </w:t>
            </w:r>
          </w:p>
        </w:tc>
        <w:tc>
          <w:tcPr>
            <w:tcW w:w="963" w:type="dxa"/>
            <w:tcBorders>
              <w:bottom w:val="single" w:sz="2" w:space="0" w:color="000000"/>
            </w:tcBorders>
            <w:tcMar>
              <w:bottom w:w="28" w:type="dxa"/>
            </w:tcMar>
            <w:vAlign w:val="center"/>
          </w:tcPr>
          <w:p>
            <w:pPr>
              <w:pStyle w:val="TableContents"/>
              <w:bidi w:val="0"/>
              <w:spacing w:before="0" w:after="283"/>
              <w:jc w:val="center"/>
              <w:rPr/>
            </w:pPr>
            <w:r>
              <w:rPr/>
              <w:t>—</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646" w:type="dxa"/>
            <w:tcBorders>
              <w:bottom w:val="single" w:sz="2" w:space="0" w:color="000000"/>
            </w:tcBorders>
            <w:tcMar>
              <w:bottom w:w="28" w:type="dxa"/>
            </w:tcMar>
            <w:vAlign w:val="center"/>
          </w:tcPr>
          <w:p>
            <w:pPr>
              <w:pStyle w:val="TableContents"/>
              <w:bidi w:val="0"/>
              <w:spacing w:before="0" w:after="283"/>
              <w:jc w:val="center"/>
              <w:rPr/>
            </w:pPr>
            <w:r>
              <w:rPr/>
              <w:t>—</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140" w:type="dxa"/>
            <w:tcBorders>
              <w:bottom w:val="single" w:sz="2" w:space="0" w:color="000000"/>
            </w:tcBorders>
            <w:tcMar>
              <w:bottom w:w="28" w:type="dxa"/>
            </w:tcMar>
            <w:vAlign w:val="center"/>
          </w:tcPr>
          <w:p>
            <w:pPr>
              <w:pStyle w:val="TableContents"/>
              <w:bidi w:val="0"/>
              <w:spacing w:before="0" w:after="283"/>
              <w:jc w:val="center"/>
              <w:rPr/>
            </w:pPr>
            <w:r>
              <w:rPr/>
              <w:t>DP-2</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4" w:type="dxa"/>
            <w:tcBorders>
              <w:bottom w:val="single" w:sz="2" w:space="0" w:color="000000"/>
            </w:tcBorders>
            <w:tcMar>
              <w:bottom w:w="28" w:type="dxa"/>
            </w:tcMar>
            <w:vAlign w:val="center"/>
          </w:tcPr>
          <w:p>
            <w:pPr>
              <w:pStyle w:val="TableContents"/>
              <w:bidi w:val="0"/>
              <w:spacing w:before="0" w:after="283"/>
              <w:jc w:val="center"/>
              <w:rPr/>
            </w:pPr>
            <w:r>
              <w:rPr/>
              <w:t>4(3)</w:t>
            </w:r>
          </w:p>
        </w:tc>
      </w:tr>
      <w:tr>
        <w:trPr>
          <w:trHeight w:val="75" w:hRule="atLeast"/>
        </w:trPr>
        <w:tc>
          <w:tcPr>
            <w:tcW w:w="470" w:type="dxa"/>
            <w:tcBorders/>
            <w:vAlign w:val="center"/>
          </w:tcPr>
          <w:p>
            <w:pPr>
              <w:pStyle w:val="TableContents"/>
              <w:bidi w:val="0"/>
              <w:spacing w:before="0" w:after="283"/>
              <w:jc w:val="left"/>
              <w:rPr>
                <w:sz w:val="4"/>
                <w:szCs w:val="4"/>
              </w:rPr>
            </w:pPr>
            <w:r>
              <w:rPr>
                <w:sz w:val="4"/>
                <w:szCs w:val="4"/>
              </w:rPr>
            </w:r>
          </w:p>
        </w:tc>
        <w:tc>
          <w:tcPr>
            <w:tcW w:w="3067" w:type="dxa"/>
            <w:gridSpan w:val="2"/>
            <w:tcBorders/>
            <w:vAlign w:val="center"/>
          </w:tcPr>
          <w:p>
            <w:pPr>
              <w:pStyle w:val="TableContents"/>
              <w:bidi w:val="0"/>
              <w:spacing w:before="0" w:after="283"/>
              <w:jc w:val="left"/>
              <w:rPr>
                <w:sz w:val="4"/>
                <w:szCs w:val="4"/>
              </w:rPr>
            </w:pPr>
            <w:r>
              <w:rPr>
                <w:sz w:val="4"/>
                <w:szCs w:val="4"/>
              </w:rPr>
            </w:r>
          </w:p>
        </w:tc>
        <w:tc>
          <w:tcPr>
            <w:tcW w:w="679" w:type="dxa"/>
            <w:gridSpan w:val="2"/>
            <w:tcBorders/>
            <w:vAlign w:val="center"/>
          </w:tcPr>
          <w:p>
            <w:pPr>
              <w:pStyle w:val="TableContents"/>
              <w:bidi w:val="0"/>
              <w:spacing w:before="0" w:after="283"/>
              <w:jc w:val="left"/>
              <w:rPr>
                <w:sz w:val="4"/>
                <w:szCs w:val="4"/>
              </w:rPr>
            </w:pPr>
            <w:r>
              <w:rPr>
                <w:sz w:val="4"/>
                <w:szCs w:val="4"/>
              </w:rPr>
            </w:r>
          </w:p>
        </w:tc>
        <w:tc>
          <w:tcPr>
            <w:tcW w:w="1009" w:type="dxa"/>
            <w:gridSpan w:val="2"/>
            <w:tcBorders/>
            <w:vAlign w:val="center"/>
          </w:tcPr>
          <w:p>
            <w:pPr>
              <w:pStyle w:val="TableContents"/>
              <w:bidi w:val="0"/>
              <w:spacing w:before="0" w:after="283"/>
              <w:jc w:val="left"/>
              <w:rPr>
                <w:sz w:val="4"/>
                <w:szCs w:val="4"/>
              </w:rPr>
            </w:pPr>
            <w:r>
              <w:rPr>
                <w:sz w:val="4"/>
                <w:szCs w:val="4"/>
              </w:rPr>
            </w:r>
          </w:p>
        </w:tc>
        <w:tc>
          <w:tcPr>
            <w:tcW w:w="1186" w:type="dxa"/>
            <w:gridSpan w:val="2"/>
            <w:tcBorders/>
            <w:vAlign w:val="center"/>
          </w:tcPr>
          <w:p>
            <w:pPr>
              <w:pStyle w:val="TableContents"/>
              <w:bidi w:val="0"/>
              <w:spacing w:before="0" w:after="283"/>
              <w:jc w:val="left"/>
              <w:rPr>
                <w:sz w:val="4"/>
                <w:szCs w:val="4"/>
              </w:rPr>
            </w:pPr>
            <w:r>
              <w:rPr>
                <w:sz w:val="4"/>
                <w:szCs w:val="4"/>
              </w:rPr>
            </w:r>
          </w:p>
        </w:tc>
        <w:tc>
          <w:tcPr>
            <w:tcW w:w="786" w:type="dxa"/>
            <w:gridSpan w:val="2"/>
            <w:tcBorders/>
            <w:vAlign w:val="center"/>
          </w:tcPr>
          <w:p>
            <w:pPr>
              <w:pStyle w:val="TableContents"/>
              <w:bidi w:val="0"/>
              <w:spacing w:before="0" w:after="283"/>
              <w:jc w:val="left"/>
              <w:rPr>
                <w:sz w:val="4"/>
                <w:szCs w:val="4"/>
              </w:rPr>
            </w:pPr>
            <w:r>
              <w:rPr>
                <w:sz w:val="4"/>
                <w:szCs w:val="4"/>
              </w:rPr>
            </w:r>
          </w:p>
        </w:tc>
        <w:tc>
          <w:tcPr>
            <w:tcW w:w="1322" w:type="dxa"/>
            <w:gridSpan w:val="2"/>
            <w:tcBorders/>
            <w:vAlign w:val="center"/>
          </w:tcPr>
          <w:p>
            <w:pPr>
              <w:pStyle w:val="TableContents"/>
              <w:bidi w:val="0"/>
              <w:spacing w:before="0" w:after="283"/>
              <w:jc w:val="left"/>
              <w:rPr>
                <w:sz w:val="4"/>
                <w:szCs w:val="4"/>
              </w:rPr>
            </w:pPr>
            <w:r>
              <w:rPr>
                <w:sz w:val="4"/>
                <w:szCs w:val="4"/>
              </w:rPr>
            </w:r>
          </w:p>
        </w:tc>
        <w:tc>
          <w:tcPr>
            <w:tcW w:w="1686" w:type="dxa"/>
            <w:gridSpan w:val="2"/>
            <w:tcBorders/>
            <w:vAlign w:val="center"/>
          </w:tcPr>
          <w:p>
            <w:pPr>
              <w:pStyle w:val="TableContents"/>
              <w:bidi w:val="0"/>
              <w:spacing w:before="0" w:after="283"/>
              <w:jc w:val="left"/>
              <w:rPr>
                <w:sz w:val="4"/>
                <w:szCs w:val="4"/>
              </w:rPr>
            </w:pPr>
            <w:r>
              <w:rPr>
                <w:sz w:val="4"/>
                <w:szCs w:val="4"/>
              </w:rPr>
            </w:r>
          </w:p>
        </w:tc>
      </w:tr>
      <w:tr>
        <w:trPr/>
        <w:tc>
          <w:tcPr>
            <w:tcW w:w="470" w:type="dxa"/>
            <w:tcBorders/>
            <w:shd w:fill="CCEEFF" w:val="clear"/>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2893" w:type="dxa"/>
            <w:tcBorders/>
            <w:shd w:fill="CCEEFF" w:val="clear"/>
          </w:tcPr>
          <w:p>
            <w:pPr>
              <w:pStyle w:val="TableContents"/>
              <w:bidi w:val="0"/>
              <w:spacing w:before="0" w:after="283"/>
              <w:jc w:val="left"/>
              <w:rPr>
                <w:b/>
              </w:rPr>
            </w:pPr>
            <w:r>
              <w:rPr>
                <w:b/>
              </w:rPr>
              <w:t>Total Operated OSVs</w:t>
            </w:r>
          </w:p>
        </w:tc>
        <w:tc>
          <w:tcPr>
            <w:tcW w:w="223" w:type="dxa"/>
            <w:tcBorders/>
            <w:shd w:fill="CCEEFF" w:val="clear"/>
            <w:vAlign w:val="bottom"/>
          </w:tcPr>
          <w:p>
            <w:pPr>
              <w:pStyle w:val="TableContents"/>
              <w:bidi w:val="0"/>
              <w:spacing w:before="0" w:after="283"/>
              <w:jc w:val="left"/>
              <w:rPr/>
            </w:pPr>
            <w:r>
              <w:rPr/>
              <w:t>  </w:t>
            </w:r>
          </w:p>
        </w:tc>
        <w:tc>
          <w:tcPr>
            <w:tcW w:w="456" w:type="dxa"/>
            <w:tcBorders/>
            <w:shd w:fill="CCEEFF" w:val="clear"/>
          </w:tcPr>
          <w:p>
            <w:pPr>
              <w:pStyle w:val="TableContents"/>
              <w:bidi w:val="0"/>
              <w:spacing w:before="0" w:after="283"/>
              <w:jc w:val="center"/>
              <w:rPr>
                <w:b/>
              </w:rPr>
            </w:pPr>
            <w:r>
              <w:rPr>
                <w:b/>
              </w:rPr>
              <w:t>49</w:t>
            </w:r>
          </w:p>
        </w:tc>
        <w:tc>
          <w:tcPr>
            <w:tcW w:w="223" w:type="dxa"/>
            <w:tcBorders/>
            <w:shd w:fill="CCEEFF" w:val="clear"/>
            <w:vAlign w:val="bottom"/>
          </w:tcPr>
          <w:p>
            <w:pPr>
              <w:pStyle w:val="TableContents"/>
              <w:bidi w:val="0"/>
              <w:spacing w:before="0" w:after="283"/>
              <w:jc w:val="left"/>
              <w:rPr/>
            </w:pPr>
            <w:r>
              <w:rPr/>
              <w:t>  </w:t>
            </w:r>
          </w:p>
        </w:tc>
        <w:tc>
          <w:tcPr>
            <w:tcW w:w="786" w:type="dxa"/>
            <w:tcBorders/>
            <w:shd w:fill="CCEEFF" w:val="clear"/>
          </w:tcPr>
          <w:p>
            <w:pPr>
              <w:pStyle w:val="TableContents"/>
              <w:bidi w:val="0"/>
              <w:spacing w:before="0" w:after="283"/>
              <w:jc w:val="center"/>
              <w:rPr>
                <w:b/>
              </w:rPr>
            </w:pPr>
            <w:r>
              <w:rPr>
                <w:b/>
              </w:rPr>
              <w:t>10</w:t>
            </w:r>
          </w:p>
        </w:tc>
        <w:tc>
          <w:tcPr>
            <w:tcW w:w="223" w:type="dxa"/>
            <w:tcBorders/>
            <w:shd w:fill="CCEEFF" w:val="clear"/>
            <w:vAlign w:val="bottom"/>
          </w:tcPr>
          <w:p>
            <w:pPr>
              <w:pStyle w:val="TableContents"/>
              <w:bidi w:val="0"/>
              <w:spacing w:before="0" w:after="283"/>
              <w:jc w:val="left"/>
              <w:rPr/>
            </w:pPr>
            <w:r>
              <w:rPr/>
              <w:t>  </w:t>
            </w:r>
          </w:p>
        </w:tc>
        <w:tc>
          <w:tcPr>
            <w:tcW w:w="963" w:type="dxa"/>
            <w:tcBorders/>
            <w:shd w:fill="CCEEFF" w:val="clear"/>
          </w:tcPr>
          <w:p>
            <w:pPr>
              <w:pStyle w:val="TableContents"/>
              <w:bidi w:val="0"/>
              <w:spacing w:before="0" w:after="283"/>
              <w:jc w:val="center"/>
              <w:rPr>
                <w:b/>
              </w:rPr>
            </w:pPr>
            <w:r>
              <w:rPr>
                <w:b/>
              </w:rPr>
              <w:t>2</w:t>
            </w:r>
          </w:p>
        </w:tc>
        <w:tc>
          <w:tcPr>
            <w:tcW w:w="140" w:type="dxa"/>
            <w:tcBorders/>
            <w:shd w:fill="CCEEFF" w:val="clear"/>
            <w:vAlign w:val="bottom"/>
          </w:tcPr>
          <w:p>
            <w:pPr>
              <w:pStyle w:val="TableContents"/>
              <w:bidi w:val="0"/>
              <w:spacing w:before="0" w:after="283"/>
              <w:jc w:val="left"/>
              <w:rPr/>
            </w:pPr>
            <w:r>
              <w:rPr/>
              <w:t>  </w:t>
            </w:r>
          </w:p>
        </w:tc>
        <w:tc>
          <w:tcPr>
            <w:tcW w:w="646" w:type="dxa"/>
            <w:tcBorders/>
            <w:shd w:fill="CCEEFF" w:val="clear"/>
          </w:tcPr>
          <w:p>
            <w:pPr>
              <w:pStyle w:val="TableContents"/>
              <w:bidi w:val="0"/>
              <w:spacing w:before="0" w:after="283"/>
              <w:jc w:val="center"/>
              <w:rPr>
                <w:b/>
              </w:rPr>
            </w:pPr>
            <w:r>
              <w:rPr>
                <w:b/>
              </w:rPr>
              <w:t>2</w:t>
            </w:r>
          </w:p>
        </w:tc>
        <w:tc>
          <w:tcPr>
            <w:tcW w:w="182" w:type="dxa"/>
            <w:tcBorders/>
            <w:shd w:fill="CCEEFF" w:val="clear"/>
            <w:vAlign w:val="bottom"/>
          </w:tcPr>
          <w:p>
            <w:pPr>
              <w:pStyle w:val="TableContents"/>
              <w:bidi w:val="0"/>
              <w:spacing w:before="0" w:after="283"/>
              <w:jc w:val="left"/>
              <w:rPr/>
            </w:pPr>
            <w:r>
              <w:rPr/>
              <w:t>  </w:t>
            </w:r>
          </w:p>
        </w:tc>
        <w:tc>
          <w:tcPr>
            <w:tcW w:w="1140" w:type="dxa"/>
            <w:tcBorders/>
            <w:shd w:fill="CCEEFF" w:val="clear"/>
          </w:tcPr>
          <w:p>
            <w:pPr>
              <w:pStyle w:val="TableContents"/>
              <w:bidi w:val="0"/>
              <w:spacing w:before="0" w:after="283"/>
              <w:jc w:val="center"/>
              <w:rPr/>
            </w:pPr>
            <w:r>
              <w:rPr/>
              <w:t>—</w:t>
            </w:r>
          </w:p>
        </w:tc>
        <w:tc>
          <w:tcPr>
            <w:tcW w:w="182" w:type="dxa"/>
            <w:tcBorders/>
            <w:shd w:fill="CCEEFF" w:val="clear"/>
            <w:vAlign w:val="bottom"/>
          </w:tcPr>
          <w:p>
            <w:pPr>
              <w:pStyle w:val="TableContents"/>
              <w:bidi w:val="0"/>
              <w:spacing w:before="0" w:after="283"/>
              <w:jc w:val="left"/>
              <w:rPr/>
            </w:pPr>
            <w:r>
              <w:rPr/>
              <w:t>  </w:t>
            </w:r>
          </w:p>
        </w:tc>
        <w:tc>
          <w:tcPr>
            <w:tcW w:w="1504" w:type="dxa"/>
            <w:tcBorders/>
            <w:shd w:fill="CCEEFF" w:val="clear"/>
          </w:tcPr>
          <w:p>
            <w:pPr>
              <w:pStyle w:val="TableContents"/>
              <w:bidi w:val="0"/>
              <w:spacing w:before="0" w:after="283"/>
              <w:jc w:val="center"/>
              <w:rPr>
                <w:b/>
              </w:rPr>
            </w:pPr>
            <w:r>
              <w:rPr>
                <w:b/>
              </w:rPr>
              <w:t>63</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mid-spec vessels and low-spec vessels.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24 stacked vessels, comprised of one HOSFLEX 370, four HOSMAX 280s, one HOS 265, three HOS 250s, 13 HOS 240s and two HOS 200s.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four OSVs formerly owned by us and that we now operate and maintain for the U.S. Navy.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MPSV Fleet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illustrates our fleet of MPSVs and the nations in which they are flagged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85"/>
        <w:gridCol w:w="280"/>
        <w:gridCol w:w="467"/>
        <w:gridCol w:w="686"/>
        <w:gridCol w:w="141"/>
        <w:gridCol w:w="616"/>
        <w:gridCol w:w="60"/>
        <w:gridCol w:w="686"/>
        <w:gridCol w:w="172"/>
        <w:gridCol w:w="784"/>
        <w:gridCol w:w="60"/>
        <w:gridCol w:w="686"/>
        <w:gridCol w:w="121"/>
        <w:gridCol w:w="859"/>
        <w:gridCol w:w="60"/>
        <w:gridCol w:w="686"/>
        <w:gridCol w:w="1456"/>
      </w:tblGrid>
      <w:tr>
        <w:trPr/>
        <w:tc>
          <w:tcPr>
            <w:tcW w:w="2385"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385" w:type="dxa"/>
            <w:tcBorders>
              <w:bottom w:val="single" w:sz="2" w:space="0" w:color="000000"/>
            </w:tcBorders>
            <w:tcMar>
              <w:bottom w:w="28" w:type="dxa"/>
            </w:tcMar>
            <w:vAlign w:val="bottom"/>
          </w:tcPr>
          <w:p>
            <w:pPr>
              <w:pStyle w:val="TableContents"/>
              <w:bidi w:val="0"/>
              <w:spacing w:before="0" w:after="283"/>
              <w:jc w:val="left"/>
              <w:rPr>
                <w:b/>
              </w:rPr>
            </w:pPr>
            <w:r>
              <w:rPr>
                <w:b/>
              </w:rPr>
              <w:t>Vessel Class</w:t>
            </w:r>
          </w:p>
        </w:tc>
        <w:tc>
          <w:tcPr>
            <w:tcW w:w="280" w:type="dxa"/>
            <w:tcBorders>
              <w:bottom w:val="single" w:sz="2" w:space="0" w:color="000000"/>
            </w:tcBorders>
            <w:tcMar>
              <w:bottom w:w="28" w:type="dxa"/>
            </w:tcMar>
            <w:vAlign w:val="bottom"/>
          </w:tcPr>
          <w:p>
            <w:pPr>
              <w:pStyle w:val="TableContents"/>
              <w:bidi w:val="0"/>
              <w:spacing w:before="0" w:after="283"/>
              <w:jc w:val="left"/>
              <w:rPr/>
            </w:pPr>
            <w:r>
              <w:rPr/>
              <w:t>  </w:t>
            </w:r>
          </w:p>
        </w:tc>
        <w:tc>
          <w:tcPr>
            <w:tcW w:w="467" w:type="dxa"/>
            <w:tcBorders>
              <w:bottom w:val="single" w:sz="2" w:space="0" w:color="000000"/>
            </w:tcBorders>
            <w:tcMar>
              <w:bottom w:w="28" w:type="dxa"/>
            </w:tcMar>
            <w:vAlign w:val="bottom"/>
          </w:tcPr>
          <w:p>
            <w:pPr>
              <w:pStyle w:val="TableContents"/>
              <w:bidi w:val="0"/>
              <w:spacing w:before="0" w:after="283"/>
              <w:jc w:val="center"/>
              <w:rPr>
                <w:b/>
              </w:rPr>
            </w:pPr>
            <w:r>
              <w:rPr>
                <w:b/>
              </w:rPr>
              <w:t>U.S.</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75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Mexico</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956" w:type="dxa"/>
            <w:gridSpan w:val="2"/>
            <w:tcBorders>
              <w:bottom w:val="single" w:sz="2" w:space="0" w:color="000000"/>
            </w:tcBorders>
            <w:tcMar>
              <w:bottom w:w="28" w:type="dxa"/>
            </w:tcMar>
            <w:vAlign w:val="bottom"/>
          </w:tcPr>
          <w:p>
            <w:pPr>
              <w:pStyle w:val="TableContents"/>
              <w:bidi w:val="0"/>
              <w:spacing w:before="0" w:after="283"/>
              <w:jc w:val="center"/>
              <w:rPr>
                <w:b/>
              </w:rPr>
            </w:pPr>
            <w:r>
              <w:rPr>
                <w:b/>
              </w:rPr>
              <w:t>Vanuatu</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98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DP Class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456" w:type="dxa"/>
            <w:tcBorders>
              <w:bottom w:val="single" w:sz="2" w:space="0" w:color="000000"/>
            </w:tcBorders>
            <w:tcMar>
              <w:bottom w:w="28" w:type="dxa"/>
            </w:tcMar>
            <w:vAlign w:val="bottom"/>
          </w:tcPr>
          <w:p>
            <w:pPr>
              <w:pStyle w:val="TableContents"/>
              <w:bidi w:val="0"/>
              <w:spacing w:before="0" w:after="283"/>
              <w:jc w:val="center"/>
              <w:rPr>
                <w:b/>
              </w:rPr>
            </w:pPr>
            <w:r>
              <w:rPr>
                <w:b/>
              </w:rPr>
              <w:t>Total in Class</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HOS C/SOV+FLOTEL(1) </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center"/>
              <w:rPr/>
            </w:pPr>
            <w:r>
              <w:rPr/>
              <w:t>1</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DP-2</w:t>
            </w:r>
          </w:p>
        </w:tc>
        <w:tc>
          <w:tcPr>
            <w:tcW w:w="60" w:type="dxa"/>
            <w:tcBorders/>
            <w:shd w:fill="CCEEFF" w:val="clear"/>
            <w:vAlign w:val="bottom"/>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bidi w:val="0"/>
              <w:spacing w:before="0" w:after="283"/>
              <w:jc w:val="center"/>
              <w:rPr/>
            </w:pPr>
            <w:r>
              <w:rPr/>
              <w:t>1</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FLOTEL</w:t>
            </w:r>
          </w:p>
        </w:tc>
        <w:tc>
          <w:tcPr>
            <w:tcW w:w="280" w:type="dxa"/>
            <w:tcBorders/>
            <w:vAlign w:val="bottom"/>
          </w:tcPr>
          <w:p>
            <w:pPr>
              <w:pStyle w:val="TableContents"/>
              <w:bidi w:val="0"/>
              <w:spacing w:before="0" w:after="283"/>
              <w:jc w:val="left"/>
              <w:rPr/>
            </w:pPr>
            <w:r>
              <w:rPr/>
              <w:t>  </w:t>
            </w:r>
          </w:p>
        </w:tc>
        <w:tc>
          <w:tcPr>
            <w:tcW w:w="467" w:type="dxa"/>
            <w:tcBorders/>
            <w:vAlign w:val="center"/>
          </w:tcPr>
          <w:p>
            <w:pPr>
              <w:pStyle w:val="TableContents"/>
              <w:bidi w:val="0"/>
              <w:spacing w:before="0" w:after="283"/>
              <w:jc w:val="center"/>
              <w:rPr/>
            </w:pPr>
            <w:r>
              <w:rPr/>
              <w:t>2</w:t>
            </w:r>
          </w:p>
        </w:tc>
        <w:tc>
          <w:tcPr>
            <w:tcW w:w="686" w:type="dxa"/>
            <w:tcBorders/>
            <w:vAlign w:val="bottom"/>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DP-2</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430</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pPr>
            <w:r>
              <w:rPr/>
              <w:t>—</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center"/>
              <w:rPr/>
            </w:pPr>
            <w:r>
              <w:rPr/>
              <w:t>1</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center"/>
              <w:rPr/>
            </w:pPr>
            <w:r>
              <w:rPr/>
              <w:t>DP-3</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HOS 400(2) </w:t>
            </w:r>
          </w:p>
        </w:tc>
        <w:tc>
          <w:tcPr>
            <w:tcW w:w="280" w:type="dxa"/>
            <w:tcBorders/>
            <w:vAlign w:val="bottom"/>
          </w:tcPr>
          <w:p>
            <w:pPr>
              <w:pStyle w:val="TableContents"/>
              <w:bidi w:val="0"/>
              <w:spacing w:before="0" w:after="283"/>
              <w:jc w:val="left"/>
              <w:rPr/>
            </w:pPr>
            <w:r>
              <w:rPr/>
              <w:t>  </w:t>
            </w:r>
          </w:p>
        </w:tc>
        <w:tc>
          <w:tcPr>
            <w:tcW w:w="467" w:type="dxa"/>
            <w:tcBorders/>
            <w:vAlign w:val="center"/>
          </w:tcPr>
          <w:p>
            <w:pPr>
              <w:pStyle w:val="TableContents"/>
              <w:bidi w:val="0"/>
              <w:spacing w:before="0" w:after="283"/>
              <w:jc w:val="center"/>
              <w:rPr/>
            </w:pPr>
            <w:r>
              <w:rPr/>
              <w:t>2</w:t>
            </w:r>
          </w:p>
        </w:tc>
        <w:tc>
          <w:tcPr>
            <w:tcW w:w="686" w:type="dxa"/>
            <w:tcBorders/>
            <w:vAlign w:val="bottom"/>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DP-2</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310/310ES</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pPr>
            <w:r>
              <w:rPr/>
              <w:t>3</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center"/>
              <w:rPr/>
            </w:pPr>
            <w:r>
              <w:rPr/>
              <w:t>DP-2</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pPr>
            <w:r>
              <w:rPr/>
              <w:t>3</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HOS 265</w:t>
            </w:r>
          </w:p>
        </w:tc>
        <w:tc>
          <w:tcPr>
            <w:tcW w:w="280" w:type="dxa"/>
            <w:tcBorders/>
            <w:vAlign w:val="bottom"/>
          </w:tcPr>
          <w:p>
            <w:pPr>
              <w:pStyle w:val="TableContents"/>
              <w:bidi w:val="0"/>
              <w:spacing w:before="0" w:after="283"/>
              <w:jc w:val="left"/>
              <w:rPr/>
            </w:pPr>
            <w:r>
              <w:rPr/>
              <w:t>  </w:t>
            </w:r>
          </w:p>
        </w:tc>
        <w:tc>
          <w:tcPr>
            <w:tcW w:w="467" w:type="dxa"/>
            <w:tcBorders/>
            <w:vAlign w:val="center"/>
          </w:tcPr>
          <w:p>
            <w:pPr>
              <w:pStyle w:val="TableContents"/>
              <w:bidi w:val="0"/>
              <w:spacing w:before="0" w:after="283"/>
              <w:jc w:val="center"/>
              <w:rPr/>
            </w:pPr>
            <w:r>
              <w:rPr/>
              <w:t>—</w:t>
            </w:r>
          </w:p>
        </w:tc>
        <w:tc>
          <w:tcPr>
            <w:tcW w:w="686" w:type="dxa"/>
            <w:tcBorders/>
            <w:vAlign w:val="bottom"/>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center"/>
              <w:rPr/>
            </w:pPr>
            <w:r>
              <w:rPr/>
              <w:t>DP-2</w:t>
            </w:r>
          </w:p>
        </w:tc>
        <w:tc>
          <w:tcPr>
            <w:tcW w:w="60" w:type="dxa"/>
            <w:tcBorders/>
            <w:vAlign w:val="center"/>
          </w:tcPr>
          <w:p>
            <w:pPr>
              <w:pStyle w:val="TableContents"/>
              <w:bidi w:val="0"/>
              <w:spacing w:before="0" w:after="283"/>
              <w:jc w:val="left"/>
              <w:rPr/>
            </w:pPr>
            <w:r>
              <w:rPr/>
              <w:t> </w:t>
            </w:r>
          </w:p>
        </w:tc>
        <w:tc>
          <w:tcPr>
            <w:tcW w:w="686" w:type="dxa"/>
            <w:tcBorders/>
            <w:vAlign w:val="bottom"/>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pPr>
            <w:r>
              <w:rPr/>
              <w:t>1</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HOS 250</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pPr>
            <w:r>
              <w:rPr/>
              <w:t>2</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center"/>
              <w:rPr/>
            </w:pPr>
            <w:r>
              <w:rPr/>
              <w:t>DP-2</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HOS 240</w:t>
            </w:r>
          </w:p>
        </w:tc>
        <w:tc>
          <w:tcPr>
            <w:tcW w:w="280" w:type="dxa"/>
            <w:tcBorders>
              <w:bottom w:val="single" w:sz="2" w:space="0" w:color="000000"/>
            </w:tcBorders>
            <w:tcMar>
              <w:bottom w:w="28" w:type="dxa"/>
            </w:tcMar>
            <w:vAlign w:val="bottom"/>
          </w:tcPr>
          <w:p>
            <w:pPr>
              <w:pStyle w:val="TableContents"/>
              <w:bidi w:val="0"/>
              <w:spacing w:before="0" w:after="283"/>
              <w:jc w:val="left"/>
              <w:rPr/>
            </w:pPr>
            <w:r>
              <w:rPr/>
              <w:t>  </w:t>
            </w:r>
          </w:p>
        </w:tc>
        <w:tc>
          <w:tcPr>
            <w:tcW w:w="467" w:type="dxa"/>
            <w:tcBorders>
              <w:bottom w:val="single" w:sz="2" w:space="0" w:color="000000"/>
            </w:tcBorders>
            <w:tcMar>
              <w:bottom w:w="28" w:type="dxa"/>
            </w:tcMar>
            <w:vAlign w:val="center"/>
          </w:tcPr>
          <w:p>
            <w:pPr>
              <w:pStyle w:val="TableContents"/>
              <w:bidi w:val="0"/>
              <w:spacing w:before="0" w:after="283"/>
              <w:jc w:val="center"/>
              <w:rPr/>
            </w:pPr>
            <w:r>
              <w:rPr/>
              <w:t>2</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vAlign w:val="center"/>
          </w:tcPr>
          <w:p>
            <w:pPr>
              <w:pStyle w:val="TableContents"/>
              <w:bidi w:val="0"/>
              <w:spacing w:before="0" w:after="283"/>
              <w:jc w:val="left"/>
              <w:rPr/>
            </w:pPr>
            <w:r>
              <w:rPr/>
              <w:t> </w:t>
            </w:r>
          </w:p>
        </w:tc>
        <w:tc>
          <w:tcPr>
            <w:tcW w:w="616" w:type="dxa"/>
            <w:tcBorders>
              <w:bottom w:val="single" w:sz="2" w:space="0" w:color="000000"/>
            </w:tcBorders>
            <w:tcMar>
              <w:bottom w:w="28" w:type="dxa"/>
            </w:tcMar>
            <w:vAlign w:val="center"/>
          </w:tcPr>
          <w:p>
            <w:pPr>
              <w:pStyle w:val="TableContents"/>
              <w:bidi w:val="0"/>
              <w:spacing w:before="0" w:after="283"/>
              <w:jc w:val="center"/>
              <w:rPr/>
            </w:pP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72" w:type="dxa"/>
            <w:tcBorders>
              <w:bottom w:val="single" w:sz="2" w:space="0" w:color="000000"/>
            </w:tcBorders>
            <w:tcMar>
              <w:bottom w:w="28" w:type="dxa"/>
            </w:tcMar>
            <w:vAlign w:val="center"/>
          </w:tcPr>
          <w:p>
            <w:pPr>
              <w:pStyle w:val="TableContents"/>
              <w:bidi w:val="0"/>
              <w:spacing w:before="0" w:after="283"/>
              <w:jc w:val="left"/>
              <w:rPr/>
            </w:pPr>
            <w:r>
              <w:rPr/>
              <w:t> </w:t>
            </w:r>
          </w:p>
        </w:tc>
        <w:tc>
          <w:tcPr>
            <w:tcW w:w="784" w:type="dxa"/>
            <w:tcBorders>
              <w:bottom w:val="single" w:sz="2" w:space="0" w:color="000000"/>
            </w:tcBorders>
            <w:tcMar>
              <w:bottom w:w="28" w:type="dxa"/>
            </w:tcMar>
            <w:vAlign w:val="center"/>
          </w:tcPr>
          <w:p>
            <w:pPr>
              <w:pStyle w:val="TableContents"/>
              <w:bidi w:val="0"/>
              <w:spacing w:before="0" w:after="283"/>
              <w:jc w:val="center"/>
              <w:rPr/>
            </w:pPr>
            <w:r>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21" w:type="dxa"/>
            <w:tcBorders>
              <w:bottom w:val="single" w:sz="2" w:space="0" w:color="000000"/>
            </w:tcBorders>
            <w:tcMar>
              <w:bottom w:w="28" w:type="dxa"/>
            </w:tcMar>
            <w:vAlign w:val="center"/>
          </w:tcPr>
          <w:p>
            <w:pPr>
              <w:pStyle w:val="TableContents"/>
              <w:bidi w:val="0"/>
              <w:spacing w:before="0" w:after="283"/>
              <w:jc w:val="left"/>
              <w:rPr/>
            </w:pPr>
            <w:r>
              <w:rPr/>
              <w:t> </w:t>
            </w:r>
          </w:p>
        </w:tc>
        <w:tc>
          <w:tcPr>
            <w:tcW w:w="859" w:type="dxa"/>
            <w:tcBorders>
              <w:bottom w:val="single" w:sz="2" w:space="0" w:color="000000"/>
            </w:tcBorders>
            <w:tcMar>
              <w:bottom w:w="28" w:type="dxa"/>
            </w:tcMar>
            <w:vAlign w:val="center"/>
          </w:tcPr>
          <w:p>
            <w:pPr>
              <w:pStyle w:val="TableContents"/>
              <w:bidi w:val="0"/>
              <w:spacing w:before="0" w:after="283"/>
              <w:jc w:val="center"/>
              <w:rPr/>
            </w:pPr>
            <w:r>
              <w:rPr/>
              <w:t>DP-2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86" w:type="dxa"/>
            <w:tcBorders>
              <w:bottom w:val="single" w:sz="2" w:space="0" w:color="000000"/>
            </w:tcBorders>
            <w:tcMar>
              <w:bottom w:w="28" w:type="dxa"/>
            </w:tcMar>
            <w:vAlign w:val="bottom"/>
          </w:tcPr>
          <w:p>
            <w:pPr>
              <w:pStyle w:val="TableContents"/>
              <w:bidi w:val="0"/>
              <w:spacing w:before="0" w:after="283"/>
              <w:jc w:val="left"/>
              <w:rPr/>
            </w:pPr>
            <w:r>
              <w:rPr/>
              <w:t>    </w:t>
            </w:r>
          </w:p>
        </w:tc>
        <w:tc>
          <w:tcPr>
            <w:tcW w:w="1456" w:type="dxa"/>
            <w:tcBorders>
              <w:bottom w:val="single" w:sz="2" w:space="0" w:color="000000"/>
            </w:tcBorders>
            <w:tcMar>
              <w:bottom w:w="28" w:type="dxa"/>
            </w:tcMar>
            <w:vAlign w:val="center"/>
          </w:tcPr>
          <w:p>
            <w:pPr>
              <w:pStyle w:val="TableContents"/>
              <w:bidi w:val="0"/>
              <w:spacing w:before="0" w:after="283"/>
              <w:jc w:val="center"/>
              <w:rPr/>
            </w:pPr>
            <w:r>
              <w:rPr/>
              <w:t>2</w:t>
            </w:r>
          </w:p>
        </w:tc>
      </w:tr>
      <w:tr>
        <w:trPr>
          <w:trHeight w:val="60" w:hRule="atLeast"/>
        </w:trPr>
        <w:tc>
          <w:tcPr>
            <w:tcW w:w="2385" w:type="dxa"/>
            <w:tcBorders/>
            <w:vAlign w:val="center"/>
          </w:tcPr>
          <w:p>
            <w:pPr>
              <w:pStyle w:val="TableContents"/>
              <w:bidi w:val="0"/>
              <w:spacing w:before="0" w:after="283"/>
              <w:jc w:val="left"/>
              <w:rPr>
                <w:sz w:val="4"/>
                <w:szCs w:val="4"/>
              </w:rPr>
            </w:pPr>
            <w:r>
              <w:rPr>
                <w:sz w:val="4"/>
                <w:szCs w:val="4"/>
              </w:rPr>
            </w:r>
          </w:p>
        </w:tc>
        <w:tc>
          <w:tcPr>
            <w:tcW w:w="747" w:type="dxa"/>
            <w:gridSpan w:val="2"/>
            <w:tcBorders/>
            <w:vAlign w:val="center"/>
          </w:tcPr>
          <w:p>
            <w:pPr>
              <w:pStyle w:val="TableContents"/>
              <w:bidi w:val="0"/>
              <w:spacing w:before="0" w:after="283"/>
              <w:jc w:val="left"/>
              <w:rPr>
                <w:sz w:val="4"/>
                <w:szCs w:val="4"/>
              </w:rPr>
            </w:pPr>
            <w:r>
              <w:rPr>
                <w:sz w:val="4"/>
                <w:szCs w:val="4"/>
              </w:rPr>
            </w:r>
          </w:p>
        </w:tc>
        <w:tc>
          <w:tcPr>
            <w:tcW w:w="1503" w:type="dxa"/>
            <w:gridSpan w:val="4"/>
            <w:tcBorders/>
            <w:vAlign w:val="center"/>
          </w:tcPr>
          <w:p>
            <w:pPr>
              <w:pStyle w:val="TableContents"/>
              <w:bidi w:val="0"/>
              <w:spacing w:before="0" w:after="283"/>
              <w:jc w:val="left"/>
              <w:rPr>
                <w:sz w:val="4"/>
                <w:szCs w:val="4"/>
              </w:rPr>
            </w:pPr>
            <w:r>
              <w:rPr>
                <w:sz w:val="4"/>
                <w:szCs w:val="4"/>
              </w:rPr>
            </w:r>
          </w:p>
        </w:tc>
        <w:tc>
          <w:tcPr>
            <w:tcW w:w="1702" w:type="dxa"/>
            <w:gridSpan w:val="4"/>
            <w:tcBorders/>
            <w:vAlign w:val="center"/>
          </w:tcPr>
          <w:p>
            <w:pPr>
              <w:pStyle w:val="TableContents"/>
              <w:bidi w:val="0"/>
              <w:spacing w:before="0" w:after="283"/>
              <w:jc w:val="left"/>
              <w:rPr>
                <w:sz w:val="4"/>
                <w:szCs w:val="4"/>
              </w:rPr>
            </w:pPr>
            <w:r>
              <w:rPr>
                <w:sz w:val="4"/>
                <w:szCs w:val="4"/>
              </w:rPr>
            </w:r>
          </w:p>
        </w:tc>
        <w:tc>
          <w:tcPr>
            <w:tcW w:w="1726" w:type="dxa"/>
            <w:gridSpan w:val="4"/>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r>
      <w:tr>
        <w:trPr/>
        <w:tc>
          <w:tcPr>
            <w:tcW w:w="23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MPSVs</w:t>
            </w:r>
          </w:p>
        </w:tc>
        <w:tc>
          <w:tcPr>
            <w:tcW w:w="280" w:type="dxa"/>
            <w:tcBorders/>
            <w:shd w:fill="CCEEFF" w:val="clear"/>
            <w:vAlign w:val="bottom"/>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b/>
              </w:rPr>
            </w:pPr>
            <w:r>
              <w:rPr>
                <w:b/>
              </w:rPr>
              <w:t>12</w:t>
            </w:r>
          </w:p>
        </w:tc>
        <w:tc>
          <w:tcPr>
            <w:tcW w:w="686" w:type="dxa"/>
            <w:tcBorders/>
            <w:shd w:fill="CCEEFF" w:val="clear"/>
            <w:vAlign w:val="bottom"/>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center"/>
              <w:rPr>
                <w:b/>
              </w:rPr>
            </w:pPr>
            <w:r>
              <w:rPr>
                <w:b/>
              </w:rPr>
              <w:t>2</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center"/>
              <w:rPr>
                <w:b/>
              </w:rPr>
            </w:pPr>
            <w:r>
              <w:rPr>
                <w:b/>
              </w:rPr>
              <w:t>1</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bottom"/>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6" w:type="dxa"/>
            <w:tcBorders/>
            <w:shd w:fill="CCEEFF" w:val="clear"/>
            <w:vAlign w:val="bottom"/>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center"/>
              <w:rPr>
                <w:b/>
              </w:rPr>
            </w:pPr>
            <w:r>
              <w:rPr>
                <w:b/>
              </w:rPr>
              <w:t>15</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two partially constructed Jones Act-qualified MPSV newbuilds to be completed pursuant to our settlement with the Surety, as discussed further in “Management’s Discussion and Analysis of Financial Condition and Results of Operations—Recent Developments—MPSV Newbuild Construction.”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two stacked HOS 240s.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our fleet of vessels and workforce-in-place differentiate us and provide us with a unique footprint that would be extremely difficult to replicate by competitors. To that end, we consistently monitor several third-party marine industry vessel appraisal services that approximate the current fair market value, replacement value, and liquidation value of our types of vessels across the global OSV and MPSV landscape. These estimates are algorithmically formulated based upon vessel age, build specification, capabilities and recent comparable vessel sales, among other criteria. According to one such third-party appraisal provider, VesselsValueTM, our fleet of 59 OSVs and 15 MPSVs had a fair market value of approximately $2.7 billion and a newbuild, or replacement, value of approximately $5.4 billion as of December 31, 2025. We believe these estimates help quantify the unique value proposition and capabilities of our fleet and the tremendous impact they bring to our customers and the service-offering and geographical end-markets that we serve. </w:t>
      </w:r>
    </w:p>
    <w:p>
      <w:pPr>
        <w:pStyle w:val="TextBody"/>
        <w:bidi w:val="0"/>
        <w:spacing w:before="360" w:after="0"/>
        <w:jc w:val="left"/>
        <w:rPr>
          <w:rFonts w:ascii="Times New Roman" w:hAnsi="Times New Roman"/>
          <w:i/>
          <w:sz w:val="20"/>
        </w:rPr>
      </w:pPr>
      <w:r>
        <w:rPr>
          <w:rFonts w:ascii="Times New Roman" w:hAnsi="Times New Roman"/>
          <w:i/>
          <w:sz w:val="20"/>
        </w:rPr>
        <w:t xml:space="preserve">Newbuild MPSVs </w:t>
      </w:r>
    </w:p>
    <w:p>
      <w:pPr>
        <w:pStyle w:val="TextBody"/>
        <w:bidi w:val="0"/>
        <w:spacing w:before="120" w:after="0"/>
        <w:jc w:val="left"/>
        <w:rPr>
          <w:rFonts w:ascii="Times New Roman" w:hAnsi="Times New Roman"/>
          <w:sz w:val="20"/>
        </w:rPr>
      </w:pPr>
      <w:r>
        <w:rPr>
          <w:rFonts w:ascii="Times New Roman" w:hAnsi="Times New Roman"/>
          <w:sz w:val="20"/>
        </w:rPr>
        <w:t xml:space="preserve">On October 9, 2023, we entered into a final settlement agreement with the Surety for two MPSVs previously under construction at Gulf Island. Pursuant to the agreement, the Surety agreed to take over and complete the construction of the two U.S.-flagged, Jones Act-qualified, HOS 400 class MPSVs at a shipyard acceptable to us. In December 2023, Eastern was contracted by the Surety to complete the construction of the two MPSVs. We were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remaining original contract price to Eastern, excluding any approved change orders subsequent to the settlement date. </w:t>
      </w:r>
    </w:p>
    <w:p>
      <w:pPr>
        <w:pStyle w:val="TextBody"/>
        <w:bidi w:val="0"/>
        <w:spacing w:before="240" w:after="0"/>
        <w:jc w:val="left"/>
        <w:rPr>
          <w:rFonts w:ascii="Times New Roman" w:hAnsi="Times New Roman"/>
          <w:sz w:val="20"/>
        </w:rPr>
      </w:pPr>
      <w:r>
        <w:rPr>
          <w:rFonts w:ascii="Times New Roman" w:hAnsi="Times New Roman"/>
          <w:sz w:val="20"/>
        </w:rPr>
        <w:t xml:space="preserve">Following physical delivery by the shipyard, each vessel is expected to undergo crane and other system installations and the vessels are expected to be available for commercial service in 2027. Once placed in service, we expect that our book carrying value for each vessel will be approximately $80.0 million, which is significantly below the expected market value of Jones Act-qualified vessels of this age, type, size and specifications.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our two newbuild MPSVs will represent the newest, most technologically advanced MPSVs in the industry; in fact, our vessels will represent the only Jones Act-qualified newbuild vessels that have been delivered since 2016. We believe that the differentiated capabilities of these vessels will allow us to satisfy our customers’ more demanding projects and enable us to secure vessel dayrates at the higher end of the spectrum, further enhancing our financial margins and profitability. Upon delivery, we anticipate that both vessels will have the ability to assist in subsea construction, light well intervention, and offshore wind installation projects with the ability to also support our military end-market opportunities.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959225" cy="22371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959225" cy="22371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Rendering of 400’ MPSV currently under construction </w:t>
      </w:r>
    </w:p>
    <w:p>
      <w:pPr>
        <w:pStyle w:val="TextBody"/>
        <w:bidi w:val="0"/>
        <w:spacing w:before="360" w:after="0"/>
        <w:jc w:val="left"/>
        <w:rPr>
          <w:rFonts w:ascii="Times New Roman" w:hAnsi="Times New Roman"/>
          <w:i/>
          <w:sz w:val="20"/>
        </w:rPr>
      </w:pPr>
      <w:r>
        <w:rPr>
          <w:rFonts w:ascii="Times New Roman" w:hAnsi="Times New Roman"/>
          <w:i/>
          <w:sz w:val="20"/>
        </w:rPr>
        <w:t xml:space="preserve">Shore-Based Facility </w:t>
      </w:r>
    </w:p>
    <w:p>
      <w:pPr>
        <w:pStyle w:val="TextBody"/>
        <w:bidi w:val="0"/>
        <w:spacing w:before="120" w:after="0"/>
        <w:jc w:val="left"/>
        <w:rPr>
          <w:rFonts w:ascii="Times New Roman" w:hAnsi="Times New Roman"/>
          <w:sz w:val="20"/>
        </w:rPr>
      </w:pPr>
      <w:r>
        <w:rPr>
          <w:rFonts w:ascii="Times New Roman" w:hAnsi="Times New Roman"/>
          <w:sz w:val="20"/>
        </w:rPr>
        <w:t xml:space="preserve">We own long-term lease rights to a port facility located in Port Fourchon, Louisiana, referred to as “HOS Port.” Port Fourchon’s proximity to the deepwater and ultra-deepwater U.S. GoA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LOOP. According to the Greater Lafourche Port Commission website as of December 31, 2025, Port Fourchon currently services over 95% of the Gulf of America’s deepwater and ultra-deepwater energy production.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31235" cy="23641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531235" cy="236410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HOS Port Facility in Port Fourchon Louisiana </w:t>
      </w:r>
    </w:p>
    <w:p>
      <w:pPr>
        <w:pStyle w:val="TextBody"/>
        <w:bidi w:val="0"/>
        <w:spacing w:before="240" w:after="0"/>
        <w:jc w:val="left"/>
        <w:rPr>
          <w:rFonts w:ascii="Times New Roman" w:hAnsi="Times New Roman"/>
          <w:sz w:val="20"/>
        </w:rPr>
      </w:pPr>
      <w:r>
        <w:rPr>
          <w:rFonts w:ascii="Times New Roman" w:hAnsi="Times New Roman"/>
          <w:sz w:val="20"/>
        </w:rPr>
        <w:t xml:space="preserve">The HOS Port facility has approximately 9 and 10 years remaining through renewal options on the current leases for the two adjacent parcels, respectively. The combined acreage of HOS Port is approximately 60 acres with total waterfront bulkhead of nearly 3,000 linear feet. HOS Port not only supports our existing fleet and customers’ deepwater and ultra-deepwater logistics requirements, but it underscores our long-term commitment to and our long-term outlook for the deepwater and ultra-deepwater GoA.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Markets and Applications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OSVs and MPSVs has changed dramatically over the last decade, driven by vastly more complex offshore oil and gas production requirements in deepwater and ultra-deepwater regions, requiring highly-capable vessels. Moreover, such shifts in oilfield demand fundamentals have been complemented by incremental demand from emerging non-oilfield customer markets, including military support services, renewable energy development, HADR, aerospace and other non-oilfield service offerings that can benefit from the capabilities of our unique vessel classes. In response to changing market conditions and customer demand, we regularly transfer vessels between and within our core geographic regions and adapt equipment and features of our vessels to best meet potential revenue opportunities. Each customer market has specialized service needs and vessel requirements and we believe our flexible fleet enables us to adapt to changing demand across our markets. Historically, most of our revenues were generated by deepwater and ultra-deepwater oil and gas drilling support activities; however, for the nine months ended September 30, 2025, only 35% of our revenues were attributed to oil and gas drilling support activities. The remaining approximately 65% of our revenues were generated away from the drill bit, with approximately 32% coming from oilfield specialty services, including offshore IRM, subsea construction and equipment installation, as well as decommissioning and plugging and abandonment work, approximately 19% coming from military support services and approximately 14% coming from other non-oilfield support services, including offshore wind development, construction and support services. As we continue to diversify our customer markets, we expect the non-oilfield markets to continue contributing a significant portion of our revenues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Oilfield Services </w:t>
      </w:r>
    </w:p>
    <w:p>
      <w:pPr>
        <w:pStyle w:val="TextBody"/>
        <w:bidi w:val="0"/>
        <w:spacing w:before="120" w:after="0"/>
        <w:jc w:val="left"/>
        <w:rPr>
          <w:rFonts w:ascii="Times New Roman" w:hAnsi="Times New Roman"/>
          <w:sz w:val="20"/>
        </w:rPr>
      </w:pPr>
      <w:r>
        <w:rPr>
          <w:rFonts w:ascii="Times New Roman" w:hAnsi="Times New Roman"/>
          <w:sz w:val="20"/>
        </w:rPr>
        <w:t xml:space="preserve">We predominantly serve our oilfield customers in the GoA, Mexico, the Caribbean, Northern South America and Brazil. Our vessels provide support to offshore oil and gas exploration and production companies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shore-based port facility located in Port Fourchon, Louisiana, from which port city 95% of all U.S. GoA oil and gas production is serviced. At our facility, we can stage modular equipment and cargos in support of such services and can also perform some of our own maintenance, outfitting and other in-the-water topside shipyard repair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offshore oil and gas industry operates globally. During the last three decades, the industry has undergone significant technological change driven by the ability to explore and produce hydrocarbons in deepwater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deepwater and ultra-deepwater deposits are located offshore West Africa, the eastern coast of South America—dominated by Brazil and more recently, Guyana—and the GoA. Certain of our primary markets for oilfield services are the cabotage-protected U.S. GoA, Mexico and Brazil. Today, deepwater and ultra-deepwater production accounts for approximately 90% of all offshore production in the U.S. GoA. According to the 2025 EIA Outlook, the GoA production is expected to account for approximately 14% of total forecast U.S. crude oil production in each of 2025 and 2026. While the GoA is one sea, its hydrocarbon resources are geopolitically divided between the United States and Mexico. Deepwater and ultra-deepwater drilling and production has been active for nearly three decades in the U.S. GoA. The Mexican deepwater and ultra-deepwater GoA,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deepwater and ultra-deepwater reservoirs and lease blocks are expected to prove to be as highly productive as neighboring U.S. formations. </w:t>
      </w:r>
    </w:p>
    <w:p>
      <w:pPr>
        <w:pStyle w:val="TextBody"/>
        <w:bidi w:val="0"/>
        <w:spacing w:before="240" w:after="0"/>
        <w:jc w:val="left"/>
        <w:rPr>
          <w:rFonts w:ascii="Times New Roman" w:hAnsi="Times New Roman"/>
          <w:sz w:val="20"/>
        </w:rPr>
      </w:pPr>
      <w:r>
        <w:rPr>
          <w:rFonts w:ascii="Times New Roman" w:hAnsi="Times New Roman"/>
          <w:sz w:val="20"/>
        </w:rPr>
        <w:t xml:space="preserve">The distance of deepwater and ultra-deepwater projects from shore, together with their water and well depths, require large amounts of bulk drilling materials and related supplies. To address the challenges of deepwater and ultra-deepwater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well-qualified to also operate as oil and chemical tankers. </w:t>
      </w:r>
    </w:p>
    <w:p>
      <w:pPr>
        <w:pStyle w:val="TextBody"/>
        <w:bidi w:val="0"/>
        <w:spacing w:before="240" w:after="0"/>
        <w:jc w:val="left"/>
        <w:rPr>
          <w:rFonts w:ascii="Times New Roman" w:hAnsi="Times New Roman"/>
          <w:sz w:val="20"/>
        </w:rPr>
      </w:pPr>
      <w:r>
        <w:rPr>
          <w:rFonts w:ascii="Times New Roman" w:hAnsi="Times New Roman"/>
          <w:sz w:val="20"/>
        </w:rPr>
        <w:t xml:space="preserve">Deepwater and ultra-deepwater successes have driven further innovation around the infrastructure required to produce and transport ashore the abundant resources that have been discovered. The challenges of working in deepwater and ultra-deepwater have pushed the development of technologies to place infrastructure directly onto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 are brought to the surface, they are gathered from multiple subsea locations through pipelines to a single deepwater or ultra-deepwater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and ultra-deepwater producers have capitalized on their existing deepwater and ultra-deepwater infrastructure to gain efficiencies through the use of “tie-backs.” A tie-back allows a deepwater or ultra-deepwater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requires the services of vessels like our MPSVs.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97555" cy="238315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297555" cy="238315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Rendering of Subsea Oilfield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and ultra-deepwater oilfield infrastructure. </w:t>
      </w:r>
    </w:p>
    <w:p>
      <w:pPr>
        <w:pStyle w:val="TextBody"/>
        <w:bidi w:val="0"/>
        <w:spacing w:before="240" w:after="0"/>
        <w:jc w:val="left"/>
        <w:rPr>
          <w:rFonts w:ascii="Times New Roman" w:hAnsi="Times New Roman"/>
          <w:sz w:val="20"/>
        </w:rPr>
      </w:pPr>
      <w:r>
        <w:rPr>
          <w:rFonts w:ascii="Times New Roman" w:hAnsi="Times New Roman"/>
          <w:sz w:val="20"/>
        </w:rPr>
        <w:t xml:space="preserve">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GoA projects typically require two to four OSVs per rig and projects in Brazil occasionally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and ultra-deepwater drilling rigs in the GoA and Brazil can typically range from six to 24 hours for a vessel. In Brazil, transit time for a vessel to some of the newer, more remote deepwater and ultra-deepwater drilling rig locations are more appropriately measured in days, not hours. As of December 31, 2025, there were 65 floating drilling units operating in the United States and Latin America. Since 2013, that figure has ranged from 39 to 108 with an average of 60.4.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 </w:t>
      </w:r>
    </w:p>
    <w:p>
      <w:pPr>
        <w:pStyle w:val="TextBody"/>
        <w:bidi w:val="0"/>
        <w:spacing w:before="240" w:after="0"/>
        <w:jc w:val="left"/>
        <w:rPr>
          <w:rFonts w:ascii="Times New Roman" w:hAnsi="Times New Roman"/>
          <w:sz w:val="20"/>
        </w:rPr>
      </w:pPr>
      <w:r>
        <w:rPr>
          <w:rFonts w:ascii="Times New Roman" w:hAnsi="Times New Roman"/>
          <w:sz w:val="20"/>
        </w:rPr>
        <w:t xml:space="preserve">Our MPSVs are principally commissioned by our deepwater and ultra-deepwater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and ultra-deepwater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nearly all of our oilfield customers have pledged reductions in their GHG and carbon emissions across their global operations. We believe that these efforts enhance the value of their GoA operations and prospects due to its relatively low carbon intensity. According to Wood Mackenzie’s Emissions Benchmarking Tool, U.S. Gulf of America Deepwater’s weighted average emissions intensity in 2025 was 7.48 tCO2e/kboe compared to a global weighted average of 21.88 tCO2e/kboe.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260725" cy="244538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260725" cy="244538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HOS Warland Setting Subsea Equipment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Non-Oilfield Services </w:t>
      </w:r>
    </w:p>
    <w:p>
      <w:pPr>
        <w:pStyle w:val="TextBody"/>
        <w:bidi w:val="0"/>
        <w:spacing w:before="120" w:after="0"/>
        <w:jc w:val="left"/>
        <w:rPr>
          <w:rFonts w:ascii="Times New Roman" w:hAnsi="Times New Roman"/>
          <w:i/>
          <w:sz w:val="20"/>
        </w:rPr>
      </w:pPr>
      <w:r>
        <w:rPr>
          <w:rFonts w:ascii="Times New Roman" w:hAnsi="Times New Roman"/>
          <w:i/>
          <w:sz w:val="20"/>
        </w:rPr>
        <w:t xml:space="preserve">Military Support Services (U.S. Government and Navy Support) </w:t>
      </w:r>
    </w:p>
    <w:p>
      <w:pPr>
        <w:pStyle w:val="TextBody"/>
        <w:bidi w:val="0"/>
        <w:spacing w:before="120" w:after="0"/>
        <w:jc w:val="left"/>
        <w:rPr>
          <w:rFonts w:ascii="Times New Roman" w:hAnsi="Times New Roman"/>
          <w:sz w:val="20"/>
        </w:rPr>
      </w:pPr>
      <w:r>
        <w:rPr>
          <w:rFonts w:ascii="Times New Roman" w:hAnsi="Times New Roman"/>
          <w:sz w:val="20"/>
        </w:rPr>
        <w:t xml:space="preserve">Since 2006, we have been a prominent, private sector service provider to the U.S. military by delivering vessels that support their readiness and security. Our military service capabilities are a growing component of our service portfolio and military support is an end-customer market that is of particular importance given the stability provided by the U.S. government’s desire to execute long-term service agreements with qualified private contractors. </w:t>
      </w:r>
    </w:p>
    <w:p>
      <w:pPr>
        <w:pStyle w:val="TextBody"/>
        <w:bidi w:val="0"/>
        <w:spacing w:before="240" w:after="0"/>
        <w:jc w:val="left"/>
        <w:rPr>
          <w:rFonts w:ascii="Times New Roman" w:hAnsi="Times New Roman"/>
          <w:sz w:val="20"/>
        </w:rPr>
      </w:pPr>
      <w:r>
        <w:rPr>
          <w:rFonts w:ascii="Times New Roman" w:hAnsi="Times New Roman"/>
          <w:sz w:val="20"/>
        </w:rPr>
        <w:t xml:space="preserve">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has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mission and expertise required for the operation of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vessels, we operate and maintain these vessels for the United States Navy pursuant to an operations and management O&amp;M contract. In addition, we own, operate and charter to the U.S. government vessels that perform a variety of other missions for the United States Navy. These missions include submarine rescue and recovery capabilities, transportation services and training drills,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Most contracts for work that we perform for the United States Navy are awarded by the MSC, which is an agency within the U.S. Navy that charters vessels for all U.S. armed forces. MSC publicizes its requirements for marine services, and we typically engage in a competitive process in order to be awarded such work. Occasionally, we are awarded charters on the basis of a sole-source award if the project requires specialized services. Our current O&amp;M contract was awarded on a sole-source basis.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35910" cy="188722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835910" cy="1887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Performing offshore submarine support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35910" cy="188722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835910" cy="18872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HOS Resolution configured into amphibious landing vessel </w:t>
      </w:r>
    </w:p>
    <w:p>
      <w:pPr>
        <w:pStyle w:val="TextBody"/>
        <w:bidi w:val="0"/>
        <w:spacing w:before="360" w:after="0"/>
        <w:jc w:val="left"/>
        <w:rPr>
          <w:rFonts w:ascii="Times New Roman" w:hAnsi="Times New Roman"/>
          <w:i/>
          <w:sz w:val="20"/>
        </w:rPr>
      </w:pPr>
      <w:r>
        <w:rPr>
          <w:rFonts w:ascii="Times New Roman" w:hAnsi="Times New Roman"/>
          <w:i/>
          <w:sz w:val="20"/>
        </w:rPr>
        <w:t xml:space="preserve">Renewable Energy </w:t>
      </w:r>
    </w:p>
    <w:p>
      <w:pPr>
        <w:pStyle w:val="TextBody"/>
        <w:bidi w:val="0"/>
        <w:spacing w:before="120" w:after="0"/>
        <w:jc w:val="left"/>
        <w:rPr>
          <w:rFonts w:ascii="Times New Roman" w:hAnsi="Times New Roman"/>
          <w:sz w:val="20"/>
        </w:rPr>
      </w:pPr>
      <w:r>
        <w:rPr>
          <w:rFonts w:ascii="Times New Roman" w:hAnsi="Times New Roman"/>
          <w:sz w:val="20"/>
        </w:rPr>
        <w:t xml:space="preserve">Renewable energy, and particularly the U.S. offshore wind market is in its early stage of development and shows potential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installation vessels that install foundations, monopiles and wind turbines;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cable-lay vessels required to install electrical transmission lines between and among units in the field and an offshore or shore-based electrical grid;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MPSVs and flotels necessary to provide a variety of offshore construction, monitoring and accommodation support for windfarm personnel;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OSVs to move equipment from shore to offshore locations.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Trump Administration has announced and taken several actions that could delay or cause the cancellation of several offshore wind projects. Despite these actions, ongoing or completed projects are likely to proceed and continue to create demand for domestic offshore maritime services. Our fleet is capable of handling the full array of services required for offshore wind construction, installation and maintenance. We know of only three Jones Act-qualified SOVs or CSOVs that have been delivered or are under construction. Thus, we believe these types of vessels, which are uniquely suited for offshore wind projects, will be utilized for the projects unaffected by the current administration’s actions. Additionally, due to muted supply increases, these types of vessels may be under-supplied if offshore wind construction is restarted following the moratorium that has been in place since January 2025. However, continued growth of the offshore wind market in the U.S. is not guaranteed and is subject to change, and we intend to continue monitoring such market closely. </w:t>
      </w:r>
    </w:p>
    <w:p>
      <w:pPr>
        <w:pStyle w:val="TextBody"/>
        <w:bidi w:val="0"/>
        <w:spacing w:before="240" w:after="0"/>
        <w:jc w:val="left"/>
        <w:rPr>
          <w:rFonts w:ascii="Times New Roman" w:hAnsi="Times New Roman"/>
          <w:sz w:val="20"/>
        </w:rPr>
      </w:pPr>
      <w:r>
        <w:rPr>
          <w:rFonts w:ascii="Times New Roman" w:hAnsi="Times New Roman"/>
          <w:sz w:val="20"/>
        </w:rPr>
        <w:t xml:space="preserve">Once an offshore windfarm is installed and operational, it requires ongoing services and maintenance provided by a C/SOV, as well as crew transfer vessels to transfer crew between shoreside locations and among offshore wind sites. While pre-construction and construction period vessels are likely to be required for shorter periods in order to execute specific development tasks, C/SOVs and crew transfer vessels are required for the life-of-farm and are typically contracted for five to ten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currently and have recently provided the offshore wind industry with vessels performing walk-to-work services, subsea survey and site-clearing and bubble curtain operations. We expect that our MPSVs will be utilized in offshore windfarm development, as they possess the necessary lifting, DP-capability and accommodations required for offshore construction support. C/SOVs and crew transfer vessels are required to be Jones Act-qualified to engage in the coastwise trade. We believe that given high U.S. shipyard construction costs, it is more economically feasible to utilize existing high-spec domestic vessels for the offshore wind industry. We recently converted one of our U.S.-flagged, Jones Act-qualified, HOSMAX 280 DP-2 OSVs into a dual-use C/SOV + Flotel MPSV, which delivered in early November 2025 and will commence a charter to support an offshore wind project off the U.S. East Coast. We consider the vessel to be dual-use in that it is outfitted to also provide accommodation support services in the offshore oilfield market.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148965" cy="211264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148965" cy="211264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HOS Vessel Positioned in New Jersey for Wind Coring </w:t>
      </w:r>
    </w:p>
    <w:p>
      <w:pPr>
        <w:pStyle w:val="TextBody"/>
        <w:bidi w:val="0"/>
        <w:spacing w:before="360" w:after="0"/>
        <w:jc w:val="left"/>
        <w:rPr>
          <w:rFonts w:ascii="Times New Roman" w:hAnsi="Times New Roman"/>
          <w:i/>
          <w:sz w:val="20"/>
        </w:rPr>
      </w:pPr>
      <w:r>
        <w:rPr>
          <w:rFonts w:ascii="Times New Roman" w:hAnsi="Times New Roman"/>
          <w:i/>
          <w:sz w:val="20"/>
        </w:rPr>
        <w:t xml:space="preserve">Other Non-Oilfield Services </w:t>
      </w:r>
    </w:p>
    <w:p>
      <w:pPr>
        <w:pStyle w:val="TextBody"/>
        <w:bidi w:val="0"/>
        <w:spacing w:before="120" w:after="0"/>
        <w:jc w:val="left"/>
        <w:rPr>
          <w:rFonts w:ascii="Times New Roman" w:hAnsi="Times New Roman"/>
          <w:sz w:val="20"/>
        </w:rPr>
      </w:pPr>
      <w:r>
        <w:rPr>
          <w:rFonts w:ascii="Times New Roman" w:hAnsi="Times New Roman"/>
          <w:sz w:val="20"/>
        </w:rPr>
        <w:t xml:space="preserve">The versatility of our vessels allows us to support communities in our core geographic areas by providing other non-oilfield services, including HADR,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Our HADR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35045" cy="847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535045" cy="84772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HOS Caledonia responding to Hurricane Maria in Puerto Rico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vessels are equipped to support aerospace launches that call for rocket component landing and recovery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Contracting Practices </w:t>
      </w:r>
    </w:p>
    <w:p>
      <w:pPr>
        <w:pStyle w:val="TextBody"/>
        <w:bidi w:val="0"/>
        <w:spacing w:before="120" w:after="0"/>
        <w:jc w:val="left"/>
        <w:rPr>
          <w:rFonts w:ascii="Times New Roman" w:hAnsi="Times New Roman"/>
          <w:i/>
          <w:sz w:val="20"/>
        </w:rPr>
      </w:pPr>
      <w:r>
        <w:rPr>
          <w:rFonts w:ascii="Times New Roman" w:hAnsi="Times New Roman"/>
          <w:i/>
          <w:sz w:val="20"/>
        </w:rPr>
        <w:t xml:space="preserve">Non-Government Customers </w:t>
      </w:r>
    </w:p>
    <w:p>
      <w:pPr>
        <w:pStyle w:val="TextBody"/>
        <w:bidi w:val="0"/>
        <w:spacing w:before="120" w:after="0"/>
        <w:jc w:val="left"/>
        <w:rPr>
          <w:rFonts w:ascii="Times New Roman" w:hAnsi="Times New Roman"/>
          <w:sz w:val="20"/>
        </w:rPr>
      </w:pPr>
      <w:r>
        <w:rPr>
          <w:rFonts w:ascii="Times New Roman" w:hAnsi="Times New Roman"/>
          <w:sz w:val="20"/>
        </w:rPr>
        <w:t xml:space="preserve">Our offshore energy customer charters are the product of either direct negotiation or a competitive proposal process, which evaluates vessel capability, availability and price. Our primary method of chartering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master agreements with certain non-governmental customers, pursuant to which customers may place individual work orders for specific charters. These master agreements are framework agreements that generally include non-economic terms such as administrative matters and indemnification and insurance provisions. However, these master agreements do not obligate us to provide services to any customers, and do not obligate such customers to hire us for any particular project, absent agreement on specific work orders, and the key economic terms of each charter. Such terms, including the specific vessel, length of charter, operating area, termination provisions and dayrates, are set forth in these individual work orders. The charters with customers with whom we have not entered into a master agreement contain provisions that are generally consistent with the terms contained in the master agreements and individual work orders, but are entered into on an individual basis. </w:t>
      </w:r>
    </w:p>
    <w:p>
      <w:pPr>
        <w:pStyle w:val="TextBody"/>
        <w:bidi w:val="0"/>
        <w:spacing w:before="240" w:after="0"/>
        <w:jc w:val="left"/>
        <w:rPr>
          <w:rFonts w:ascii="Times New Roman" w:hAnsi="Times New Roman"/>
          <w:sz w:val="20"/>
        </w:rPr>
      </w:pPr>
      <w:r>
        <w:rPr>
          <w:rFonts w:ascii="Times New Roman" w:hAnsi="Times New Roman"/>
          <w:sz w:val="20"/>
        </w:rPr>
        <w:t xml:space="preserve">Our charters with these customers, whether on a long-term or spot basis, primarily govern the length of the term and the rate charged by us for a vessel. The charters have terms varying from a few days to three years (or longer in certain circumstances). The charters include a fixed dayrate for the primary term whereby for each day that the vessel is under contract to the customer, we earn a fixed amount of charter hire for making the vessel available for the customer’s use, and the dayrate payable for any extension of the charter. These dayrates area based on market rates at the time of entry into each charter. However, long-term charters sometimes contain “cost pass through” provisions that permit us to increase our dayrates to be compensated for certain increased operational expenses or regulatory changes. Many of these charters require the customer to pay a substantial fee for early termination of the charter. Our charters also contain customary insurance and indemnification provisions. These indemnification provisions generally provide that we will indemnify the counterparty for claims for loss or for damage to property, equipment, material and supplies, claims arising from the control, removal, restoration and cleanup of all pollution or contamination, arising from or on account of pollution or contamination which originates from our vessel and other customary coverage. </w:t>
      </w:r>
    </w:p>
    <w:p>
      <w:pPr>
        <w:pStyle w:val="TextBody"/>
        <w:bidi w:val="0"/>
        <w:spacing w:before="360" w:after="0"/>
        <w:jc w:val="left"/>
        <w:rPr>
          <w:rFonts w:ascii="Times New Roman" w:hAnsi="Times New Roman"/>
          <w:i/>
          <w:sz w:val="20"/>
        </w:rPr>
      </w:pPr>
      <w:r>
        <w:rPr>
          <w:rFonts w:ascii="Times New Roman" w:hAnsi="Times New Roman"/>
          <w:i/>
          <w:sz w:val="20"/>
        </w:rPr>
        <w:t xml:space="preserve">U.S. Government Customers </w:t>
      </w:r>
    </w:p>
    <w:p>
      <w:pPr>
        <w:pStyle w:val="TextBody"/>
        <w:bidi w:val="0"/>
        <w:spacing w:before="120" w:after="0"/>
        <w:jc w:val="left"/>
        <w:rPr>
          <w:rFonts w:ascii="Times New Roman" w:hAnsi="Times New Roman"/>
          <w:sz w:val="20"/>
        </w:rPr>
      </w:pPr>
      <w:r>
        <w:rPr>
          <w:rFonts w:ascii="Times New Roman" w:hAnsi="Times New Roman"/>
          <w:sz w:val="20"/>
        </w:rPr>
        <w:t xml:space="preserve">The process for entering into charters with the U.S. government entails the applicable agency posting requests for proposals or solicitations for vessel projects and our bidding on chosen jobs by completing an offer responsive to such solicitations. Once finalized, we will execute a Solicitation, Offer and Award contract with the U.S. government, which will incorporate standard forms of contract issued by the U.S. government, such as for example, a “Specialtime” form for the time chartering of vessels, or an O&amp;M contract if the scope of work is to operate and maintain a government vessel. Similar to the work orders for many of our non-government charters, each Solicitation, Offer and Award contract contains the specific commercial terms for a vessel charter, including the fixed term (typically one to five years for government charters), dayrate and place of delivery. If the applicable agency awards us the charter, the vessel order is governed by the applicable form of contract related to the services provided, the FARs or the D-FARs. Certain clauses of the FARs and D-FARs are incorporated by reference into the Solicitation, Offer and Award contract or O&amp;M Contract, as applicable, and these clauses contain requirements for managing a contract after the award, including conditions under which contracts may be terminated and customary indemnification. While the specific chartering process with the U.S. government is different from the chartering process for our other customers, the description of the general terms of our charters in the last paragraph of “—Non-Government Customers” above generally applies to our U.S. government charters as well.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offshore support vessel industry is highly competitive. Competition primarily involves such factors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quality, capability and age of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quality, capability and nationality of the crew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meet the customer’s schedule and specific logistical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record, reputation and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cabotage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U.S. GoA, Mexico GoA and Brazil each have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w:t>
      </w:r>
    </w:p>
    <w:p>
      <w:pPr>
        <w:pStyle w:val="TextBody"/>
        <w:bidi w:val="0"/>
        <w:spacing w:before="240" w:after="0"/>
        <w:jc w:val="left"/>
        <w:rPr>
          <w:rFonts w:ascii="Times New Roman" w:hAnsi="Times New Roman"/>
          <w:sz w:val="20"/>
        </w:rPr>
      </w:pPr>
      <w:r>
        <w:rPr>
          <w:rFonts w:ascii="Times New Roman" w:hAnsi="Times New Roman"/>
          <w:sz w:val="20"/>
        </w:rPr>
        <w:t xml:space="preserve">Our high-spec OSVs are predominantly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GoA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 </w:t>
      </w:r>
    </w:p>
    <w:p>
      <w:pPr>
        <w:pStyle w:val="TextBody"/>
        <w:bidi w:val="0"/>
        <w:spacing w:before="240" w:after="0"/>
        <w:jc w:val="left"/>
        <w:rPr>
          <w:rFonts w:ascii="Times New Roman" w:hAnsi="Times New Roman"/>
          <w:sz w:val="20"/>
        </w:rPr>
      </w:pPr>
      <w:r>
        <w:rPr>
          <w:rFonts w:ascii="Times New Roman" w:hAnsi="Times New Roman"/>
          <w:sz w:val="20"/>
        </w:rPr>
        <w:t xml:space="preserve">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 However, Jones Act-qualified MPSVs can engage in domestic transportation, ancillary to their other services, which can give them a competitive advantage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Competition in the MPSV industry is significantly affected by the particular capabilities of a vessel to meet the requirements of a customer’s project, as well as price. While operating in the U.S. GoA,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GoA are often lower than prices we can charge. Finally, some potential MPSV customers are also owners of MPSVs that will compete with our vessels. </w:t>
      </w:r>
    </w:p>
    <w:p>
      <w:pPr>
        <w:pStyle w:val="TextBody"/>
        <w:bidi w:val="0"/>
        <w:spacing w:before="240" w:after="0"/>
        <w:jc w:val="left"/>
        <w:rPr>
          <w:rFonts w:ascii="Times New Roman" w:hAnsi="Times New Roman"/>
          <w:sz w:val="20"/>
        </w:rPr>
      </w:pPr>
      <w:r>
        <w:rPr>
          <w:rFonts w:ascii="Times New Roman" w:hAnsi="Times New Roman"/>
          <w:sz w:val="20"/>
        </w:rPr>
        <w:t xml:space="preserve">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and whose maiden voyage is to Brazil and which pays Brazilian importation duties. Brazil-flagged vessels must also employ Brazilian crew, but the citizenship of the owners of a Brazilian shipping company is not regulated.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continue to observe intense scrutiny by our customers on the safety and environmental management systems of vessel operators. As a consequence, we believe that deepwater and ultra-deepwater customers are increasingly biased towards companies that have demonstrated a financial and operational commitment and capacity to employ such systems. We believe this trend will, over time, make it difficult for small enterprises to compete effectively in the deepwater and ultra-deepwater OSV and MPSV markets. </w:t>
      </w:r>
    </w:p>
    <w:p>
      <w:pPr>
        <w:pStyle w:val="TextBody"/>
        <w:bidi w:val="0"/>
        <w:spacing w:before="240" w:after="0"/>
        <w:jc w:val="left"/>
        <w:rPr>
          <w:rFonts w:ascii="Times New Roman" w:hAnsi="Times New Roman"/>
          <w:sz w:val="20"/>
        </w:rPr>
      </w:pPr>
      <w:r>
        <w:rPr>
          <w:rFonts w:ascii="Times New Roman" w:hAnsi="Times New Roman"/>
          <w:sz w:val="20"/>
        </w:rPr>
        <w:t xml:space="preserve">Although some of our principal competitors are larger or have more extensive international operations than we do, we believe that our operating capabilities and reputation for quality and safety enable us to compete effectively in the market areas in which we operate or intend to operate. Moreover, we believe that the relatively young age and advanced features of our OSV and MPSV fleet provide us with additional competitive advantages. As of December 31, 2025, our total fleet of 59 OSVs and 15 MPSVs included two partially constructed Jones Act-qualified MPSV newbuilds to be completed pursuant to our settlement with Surety, as discussed further in “Management’s Discussion and Analysis of Financial Condition and Results of Operations—Recent Developments—MPSV Newbuild Construction.”. At that date we operated an active OSV fleet of 35 vessels of which approximately 99% were categorized as high- or ultra high-spec. These high- and ultra high-spec vessels range in age from 10-23 years with a weighted-average fleet age, based on DWT, of 13.4 years. In fact, approximately 88% of these vessels have been constructed since January 1, 2008, and 100% have DP-2 capabilities. Similarly, our active MPSV fleet is comprised of 11 vessels that range in age from 10-25 years with 100% of those vessels possessing DP-2 or DP-3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Dependency </w:t>
      </w:r>
    </w:p>
    <w:p>
      <w:pPr>
        <w:pStyle w:val="TextBody"/>
        <w:bidi w:val="0"/>
        <w:spacing w:before="120" w:after="0"/>
        <w:jc w:val="left"/>
        <w:rPr>
          <w:rFonts w:ascii="Times New Roman" w:hAnsi="Times New Roman"/>
          <w:sz w:val="20"/>
        </w:rPr>
      </w:pPr>
      <w:r>
        <w:rPr>
          <w:rFonts w:ascii="Times New Roman" w:hAnsi="Times New Roman"/>
          <w:sz w:val="20"/>
        </w:rPr>
        <w:t xml:space="preserve">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MSC, a department that is responsible for the contracting of marine vessels and services for all branches of the United States Armed Forces. For the nine months ended September 30, 2025, MSC, collective subsidiaries of Shell plc, and a wholly owned subsidiary of Occidental Petroleum Company each accounted for 10% or more of our consolidated revenues. Our charters with Occidental Petroleum Company are pursuant to a master agreement, a pricing agreement and specific work orders, consistent with our chartering process with other customers as described in “—Contracting Practices—Non-Government Customers.” Our charters with MSC are subject to individual Solicitation, Offer and Award contracts or O&amp;M contracts and the applicable FARs and D-FARs, consistent with our chartering process with other U.S. government customers as described in “—Contracting Practices—U.S. Government Customers.” </w:t>
      </w:r>
    </w:p>
    <w:p>
      <w:pPr>
        <w:pStyle w:val="TextBody"/>
        <w:bidi w:val="0"/>
        <w:spacing w:before="240" w:after="0"/>
        <w:jc w:val="left"/>
        <w:rPr>
          <w:rFonts w:ascii="Times New Roman" w:hAnsi="Times New Roman"/>
          <w:sz w:val="20"/>
        </w:rPr>
      </w:pPr>
      <w:r>
        <w:rPr>
          <w:rFonts w:ascii="Times New Roman" w:hAnsi="Times New Roman"/>
          <w:sz w:val="20"/>
        </w:rPr>
        <w:t xml:space="preserve">The specific customers accounting for over 10% of our consolidated revenues for any period typically vary from period to period over time, and the multiple separate charters with each of these customers are typically entered into on one-time or “spot” bases with no material ongoing obligations thereunder once completed. For further discussion of significant customers, see Note 18 to our Annual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i/>
          <w:sz w:val="20"/>
        </w:rPr>
      </w:pPr>
      <w:r>
        <w:rPr>
          <w:rFonts w:ascii="Times New Roman" w:hAnsi="Times New Roman"/>
          <w:i/>
          <w:sz w:val="20"/>
        </w:rPr>
        <w:t xml:space="preserve">Environmental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 </w:t>
      </w:r>
    </w:p>
    <w:p>
      <w:pPr>
        <w:pStyle w:val="TextBody"/>
        <w:bidi w:val="0"/>
        <w:spacing w:before="240" w:after="0"/>
        <w:jc w:val="left"/>
        <w:rPr>
          <w:rFonts w:ascii="Times New Roman" w:hAnsi="Times New Roman"/>
          <w:sz w:val="20"/>
        </w:rPr>
      </w:pPr>
      <w:r>
        <w:rPr>
          <w:rFonts w:ascii="Times New Roman" w:hAnsi="Times New Roman"/>
          <w:sz w:val="20"/>
        </w:rPr>
        <w:t xml:space="preserve">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 </w:t>
      </w:r>
    </w:p>
    <w:p>
      <w:pPr>
        <w:pStyle w:val="TextBody"/>
        <w:bidi w:val="0"/>
        <w:spacing w:before="240" w:after="0"/>
        <w:jc w:val="left"/>
        <w:rPr>
          <w:rFonts w:ascii="Times New Roman" w:hAnsi="Times New Roman"/>
          <w:sz w:val="20"/>
        </w:rPr>
      </w:pPr>
      <w:r>
        <w:rPr>
          <w:rFonts w:ascii="Times New Roman" w:hAnsi="Times New Roman"/>
          <w:sz w:val="20"/>
        </w:rPr>
        <w:t xml:space="preserve">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 by third parties not under our control or for releases associated with practices performed by us or others that were standard in the industry at the time and in compliance with existing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 </w:t>
      </w:r>
    </w:p>
    <w:p>
      <w:pPr>
        <w:pStyle w:val="TextBody"/>
        <w:bidi w:val="0"/>
        <w:spacing w:before="240" w:after="0"/>
        <w:jc w:val="left"/>
        <w:rPr>
          <w:rFonts w:ascii="Times New Roman" w:hAnsi="Times New Roman"/>
          <w:sz w:val="20"/>
        </w:rPr>
      </w:pPr>
      <w:r>
        <w:rPr>
          <w:rFonts w:ascii="Times New Roman" w:hAnsi="Times New Roman"/>
          <w:sz w:val="20"/>
        </w:rPr>
        <w:t xml:space="preserve">On December 4, 2018, the Vessel Incidental Discharge Act was enacted, which requires the U.S. Environmental Protection Agency (the “EPA”) to develop, through rulemaking, new national standards of performance for commercial vessel incidental discharges. In October 2020, the EPA proposed national standards of performance, and in October 2023, the EPA supplemented the proposed rulemaking, providing additional USCG data and supplemental regulatory options being considered by the EPA for discharge from ballast tanks, hulls and niche areas, and graywater systems, informed by public comments to the initial proposed rule. The final rule was published in the Federal Register in October 2024, which will be followed by a USCG rulemaking process to issue enforcement regulations, with a deadline set by the Vessel Incidental Discharge Act of two years after the EPA’s final rule.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the EPA, respectively. Most of our vessels operating in the U.S. GoA are exempt from the ballast water treatment requirements. However, for non-exempt vessels, ballast water treatment equipment may be required to be utilized on the vessel. We have currently estimated the cost of compliance with either the EPA’s vessel discharge requirements or the BWMC to be approximately $250,000 per vessel that is required to be fitted with a treatment system. </w:t>
      </w:r>
    </w:p>
    <w:p>
      <w:pPr>
        <w:pStyle w:val="TextBody"/>
        <w:bidi w:val="0"/>
        <w:spacing w:before="240" w:after="0"/>
        <w:jc w:val="left"/>
        <w:rPr>
          <w:rFonts w:ascii="Times New Roman" w:hAnsi="Times New Roman"/>
          <w:sz w:val="20"/>
        </w:rPr>
      </w:pPr>
      <w:r>
        <w:rPr>
          <w:rFonts w:ascii="Times New Roman" w:hAnsi="Times New Roman"/>
          <w:sz w:val="20"/>
        </w:rPr>
        <w:t xml:space="preserve">The U.S. Department of the Interior (the “DOI”) issues regulations governing oil and gas operations on federal lands and waters and imposes obligations for establishing financial assurance for decommissioning activities. In 2023, the DOI finalized a new five-year offshore leasing plan for the U.S. GoA that substantially limits offshore lease sales. Legal challenges to the leasing plan could delay or suspend offshore lease auctions, adversely affecting our customers’ businesses and reducing demand for our services. On November 14, 2025, the Trump Administration’s DOI issued an order titled “Unleashing American Offshore Energy,” which directed the BOEM to terminate the Biden Administration’s 2024 to 2029 National Outer Continental Shelf Oil and Gas Leasing Program and replace it with a more expansive leasing program by October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Clean Air Act regulates the emission of air pollutants resulting from industrial activities. Between 2008 and 2015, the EPA phased-in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2008 California Air Resources Board’s Commercial Harbor Craft Regulation requires the phase-out of older engines with engines meeting higher emissions standards by certain compliance timelines in regulated California waters, and in 2022, was amended to expand applicability to additional vessel types and require cleaner upgrades or newer technology. To the extent that such current or future federal or state regulations may apply to our operations or vessels, we could be responsible for the costs associated with compliance. </w:t>
      </w:r>
    </w:p>
    <w:p>
      <w:pPr>
        <w:pStyle w:val="TextBody"/>
        <w:bidi w:val="0"/>
        <w:spacing w:before="240" w:after="0"/>
        <w:jc w:val="left"/>
        <w:rPr>
          <w:rFonts w:ascii="Times New Roman" w:hAnsi="Times New Roman"/>
          <w:sz w:val="20"/>
        </w:rPr>
      </w:pPr>
      <w:r>
        <w:rPr>
          <w:rFonts w:ascii="Times New Roman" w:hAnsi="Times New Roman"/>
          <w:sz w:val="20"/>
        </w:rPr>
        <w:t xml:space="preserve">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 </w:t>
      </w:r>
    </w:p>
    <w:p>
      <w:pPr>
        <w:pStyle w:val="TextBody"/>
        <w:bidi w:val="0"/>
        <w:spacing w:before="240" w:after="0"/>
        <w:jc w:val="left"/>
        <w:rPr>
          <w:rFonts w:ascii="Times New Roman" w:hAnsi="Times New Roman"/>
          <w:sz w:val="20"/>
        </w:rPr>
      </w:pPr>
      <w:r>
        <w:rPr>
          <w:rFonts w:ascii="Times New Roman" w:hAnsi="Times New Roman"/>
          <w:sz w:val="20"/>
        </w:rPr>
        <w:t xml:space="preserve">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speed restrictions, minimum marine mammal approach distances and strike reporting, and prohibit vessel entry in certain protected areas, with the same or similar regulations on the international level. Additionally, in March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which was formally adopted in June 2023, and was ratified in September 2025. The agreement will enter into force on January 17, 2026 and will create a legal framework for the establishment of marine protected areas and will require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 </w:t>
      </w:r>
    </w:p>
    <w:p>
      <w:pPr>
        <w:pStyle w:val="TextBody"/>
        <w:bidi w:val="0"/>
        <w:spacing w:before="360" w:after="0"/>
        <w:jc w:val="left"/>
        <w:rPr>
          <w:rFonts w:ascii="Times New Roman" w:hAnsi="Times New Roman"/>
          <w:i/>
          <w:sz w:val="20"/>
        </w:rPr>
      </w:pPr>
      <w:r>
        <w:rPr>
          <w:rFonts w:ascii="Times New Roman" w:hAnsi="Times New Roman"/>
          <w:i/>
          <w:sz w:val="20"/>
        </w:rPr>
        <w:t xml:space="preserve">Climate Change </w:t>
      </w:r>
    </w:p>
    <w:p>
      <w:pPr>
        <w:pStyle w:val="TextBody"/>
        <w:bidi w:val="0"/>
        <w:spacing w:before="120" w:after="0"/>
        <w:jc w:val="left"/>
        <w:rPr>
          <w:rFonts w:ascii="Times New Roman" w:hAnsi="Times New Roman"/>
          <w:sz w:val="20"/>
        </w:rPr>
      </w:pPr>
      <w:r>
        <w:rPr>
          <w:rFonts w:ascii="Times New Roman" w:hAnsi="Times New Roman"/>
          <w:sz w:val="20"/>
        </w:rPr>
        <w:t xml:space="preserve">Climate change continues to attract considerable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designed to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Internationally, the United Nations-sponsored “Paris Agreement” requires member states to individually determine and submit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non-binding emissions reduction targets every five years after 2020. The Biden Administration recommitted the U.S. to the Paris Agreement in January 2021, and, in April 2021, announced a target to cut U.S. GHG emissions to 50-52 percent of 2005 levels by 2030. However, in January 2025, the Trump Administration issued executive orders directing the immediate notice to the United Nations of the United States’ withdrawal from the Paris Agreement and all other agreements made under the United Nations Framework Convention on Climate Change. Additionally, at the 28th Conference of the Parties (“COP28”), member countries agreed to the first “global stocktake,” which calls on countries to contribute to global efforts to mitigate climate change, including a tripling of renewable energy capacity and doubling energy efficiency improvements by 2030; phasing out inefficient fossil fuel subsidies; and transitioning away from fossil fuels in energy systems. At the 29th Conference of the Parties, member countries agreed, among other things, on rules to operationalize international carbon markets under Article 6 of the Paris Agreement. However, the United States did not send an official delegation to the 30th Conference of the Parties. On January 7, 2026, the Trump Administration issued an executive order directing the United States to withdraw from the United Nations Framework Convention on Climate Change. </w:t>
      </w:r>
    </w:p>
    <w:p>
      <w:pPr>
        <w:pStyle w:val="TextBody"/>
        <w:bidi w:val="0"/>
        <w:spacing w:before="240" w:after="0"/>
        <w:jc w:val="left"/>
        <w:rPr>
          <w:rFonts w:ascii="Times New Roman" w:hAnsi="Times New Roman"/>
          <w:sz w:val="20"/>
        </w:rPr>
      </w:pPr>
      <w:r>
        <w:rPr>
          <w:rFonts w:ascii="Times New Roman" w:hAnsi="Times New Roman"/>
          <w:sz w:val="20"/>
        </w:rPr>
        <w:t xml:space="preserve">Increases in federal agency attention to GHG emissions and climate change effects may impact our customers’ ability or time to receive, or increase restrictions on, offshore leases or permits. Separately,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and certain U.S. states. In addition, California passed into law the Climate Corporate Data Accountability Act (SB 253) and the Climate-Related Financial Risk Act (SB 261) in October 2023, which require certain companies that do business in California and meet certain annual revenue thresholds to publicly disclose their Scopes 1, 2 and 3 GHG emissions, with third-party assurance of such data, and issue public reports on their climate-related financial risk and related mitigation measures. Both laws are currently subject to legal challenge.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 </w:t>
      </w:r>
    </w:p>
    <w:p>
      <w:pPr>
        <w:pStyle w:val="TextBody"/>
        <w:bidi w:val="0"/>
        <w:spacing w:before="240" w:after="0"/>
        <w:jc w:val="left"/>
        <w:rPr>
          <w:rFonts w:ascii="Times New Roman" w:hAnsi="Times New Roman"/>
          <w:sz w:val="20"/>
        </w:rPr>
      </w:pPr>
      <w:r>
        <w:rPr>
          <w:rFonts w:ascii="Times New Roman" w:hAnsi="Times New Roman"/>
          <w:sz w:val="20"/>
        </w:rPr>
        <w:t xml:space="preserve">More broadly, restrictions on GHG emissions or other climate-related international, federal, state or local legislative or regulatory enactments could have an effect in those industries that use significant amounts of petroleum products, which could potentially result in a reduction in demand for petroleum products and, consequently and indirectly, our offshore transportation and support services. While the Supreme Court’s decision in </w:t>
      </w:r>
      <w:r>
        <w:rPr>
          <w:rFonts w:ascii="Times New Roman" w:hAnsi="Times New Roman"/>
          <w:i/>
          <w:sz w:val="20"/>
        </w:rPr>
        <w:t>Loper Bright Enterprises v. Raimondo</w:t>
      </w:r>
      <w:r>
        <w:rPr>
          <w:rFonts w:ascii="Times New Roman" w:hAnsi="Times New Roman"/>
          <w:sz w:val="20"/>
        </w:rPr>
        <w:t xml:space="preserve"> to overrule </w:t>
      </w:r>
      <w:r>
        <w:rPr>
          <w:rFonts w:ascii="Times New Roman" w:hAnsi="Times New Roman"/>
          <w:i/>
          <w:sz w:val="20"/>
        </w:rPr>
        <w:t>Chevron U.S.A. Inc. v. Natural Resources Defense Council, Inc.</w:t>
      </w:r>
      <w:r>
        <w:rPr>
          <w:rFonts w:ascii="Times New Roman" w:hAnsi="Times New Roman"/>
          <w:sz w:val="20"/>
        </w:rPr>
        <w:t xml:space="preserve"> and end the concept of general deference to regulatory agency interpretations of laws introduces new complexity for federal agencies and administration of climate change policy and regulatory programs, many of these initiatives are expected to continue in the long term. Although we are currently unable to accurately predict the manner or extent of the effects of any such initiatives, legislation and regulatory programs enacted to address climate change or reduce emissions of GHGs could have an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GoA in particular. Such conditions could also cause damage to our assets. Any of these impacts, individually or in the aggregate, could materially and adversely affect our business, financial conditions and results of operations. We are currently unable to predict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manner or extent of any such effect. Our ability to mitigate the adverse physical impacts of climate change depends in part upon our disaster preparedness and response and business continuity planning. See further discussion in “Risk Factors—Our business may be subject to risks related to climate change, including physical risks such as increased adverse weather patterns and transition risks such as evolving climate change regulation, fuel conservation measures,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On December 31, 2025, we had 1,774 employees, including 1,456 vessel personnel and 313 corporate, administrative and management personnel. Excluded from these personnel totals are 100 third-country nationals that we contracted to serve on our vessels as of December 31, 2025. These non-U.S. mariners are typically provided by international crewing agencies. With the exception of 548 employees located in Mexico and Brazil as of December 31, 2025, none of our employees are represented by a union or employed pursuant to a collective bargaining agreement or similar arrangement. We have not experienced any strikes or work stoppages, and our management believes that we continue to experience good relations with our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Geographic Areas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presents revenues by geographic region(1) for the nine months ended September 30, 2025 and 2024 and the years ended December 31, 2024 and 2023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2"/>
        <w:gridCol w:w="139"/>
        <w:gridCol w:w="140"/>
        <w:gridCol w:w="814"/>
        <w:gridCol w:w="60"/>
        <w:gridCol w:w="139"/>
        <w:gridCol w:w="60"/>
        <w:gridCol w:w="572"/>
        <w:gridCol w:w="275"/>
        <w:gridCol w:w="82"/>
        <w:gridCol w:w="140"/>
        <w:gridCol w:w="814"/>
        <w:gridCol w:w="60"/>
        <w:gridCol w:w="139"/>
        <w:gridCol w:w="60"/>
        <w:gridCol w:w="572"/>
        <w:gridCol w:w="275"/>
        <w:gridCol w:w="82"/>
        <w:gridCol w:w="140"/>
        <w:gridCol w:w="813"/>
        <w:gridCol w:w="60"/>
        <w:gridCol w:w="151"/>
        <w:gridCol w:w="60"/>
        <w:gridCol w:w="572"/>
        <w:gridCol w:w="275"/>
        <w:gridCol w:w="82"/>
        <w:gridCol w:w="140"/>
        <w:gridCol w:w="814"/>
        <w:gridCol w:w="60"/>
        <w:gridCol w:w="139"/>
        <w:gridCol w:w="60"/>
        <w:gridCol w:w="572"/>
        <w:gridCol w:w="282"/>
      </w:tblGrid>
      <w:tr>
        <w:trPr/>
        <w:tc>
          <w:tcPr>
            <w:tcW w:w="1562"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56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392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393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2" w:type="dxa"/>
            <w:tcBorders/>
            <w:vAlign w:val="bottom"/>
          </w:tcPr>
          <w:p>
            <w:pPr>
              <w:pStyle w:val="TableContents"/>
              <w:bidi w:val="0"/>
              <w:spacing w:before="0" w:after="283"/>
              <w:jc w:val="left"/>
              <w:rPr/>
            </w:pPr>
            <w:r>
              <w:rPr/>
              <w:t> </w:t>
            </w:r>
          </w:p>
        </w:tc>
      </w:tr>
      <w:tr>
        <w:trPr/>
        <w:tc>
          <w:tcPr>
            <w:tcW w:w="1562"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82" w:type="dxa"/>
            <w:tcBorders/>
            <w:vAlign w:val="bottom"/>
          </w:tcPr>
          <w:p>
            <w:pPr>
              <w:pStyle w:val="TableContents"/>
              <w:bidi w:val="0"/>
              <w:spacing w:before="0" w:after="283"/>
              <w:jc w:val="left"/>
              <w:rPr/>
            </w:pPr>
            <w:r>
              <w:rPr/>
              <w:t> </w:t>
            </w:r>
          </w:p>
        </w:tc>
      </w:tr>
      <w:tr>
        <w:trPr/>
        <w:tc>
          <w:tcPr>
            <w:tcW w:w="156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383,568</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70.3</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359,298</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74.9</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478,052</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74.6</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432,621</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75.4</w:t>
            </w:r>
          </w:p>
        </w:tc>
        <w:tc>
          <w:tcPr>
            <w:tcW w:w="282" w:type="dxa"/>
            <w:tcBorders/>
            <w:shd w:fill="CCEEFF" w:val="clear"/>
            <w:vAlign w:val="bottom"/>
          </w:tcPr>
          <w:p>
            <w:pPr>
              <w:pStyle w:val="TableContents"/>
              <w:bidi w:val="0"/>
              <w:spacing w:before="0" w:after="283"/>
              <w:jc w:val="left"/>
              <w:rPr/>
            </w:pPr>
            <w:r>
              <w:rPr/>
              <w:t>% </w:t>
            </w:r>
          </w:p>
        </w:tc>
      </w:tr>
      <w:tr>
        <w:trPr/>
        <w:tc>
          <w:tcPr>
            <w:tcW w:w="1562"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International(2)(3)</w:t>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161,977</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29.7</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120,684</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25.1</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162,799</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25.4</w:t>
            </w:r>
          </w:p>
        </w:tc>
        <w:tc>
          <w:tcPr>
            <w:tcW w:w="275"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140,828</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24.6</w:t>
            </w:r>
          </w:p>
        </w:tc>
        <w:tc>
          <w:tcPr>
            <w:tcW w:w="282" w:type="dxa"/>
            <w:tcBorders/>
            <w:vAlign w:val="bottom"/>
          </w:tcPr>
          <w:p>
            <w:pPr>
              <w:pStyle w:val="TableContents"/>
              <w:bidi w:val="0"/>
              <w:spacing w:before="0" w:after="283"/>
              <w:jc w:val="left"/>
              <w:rPr/>
            </w:pPr>
            <w:r>
              <w:rPr/>
              <w:t>% </w:t>
            </w:r>
          </w:p>
        </w:tc>
      </w:tr>
      <w:tr>
        <w:trPr/>
        <w:tc>
          <w:tcPr>
            <w:tcW w:w="156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562" w:type="dxa"/>
            <w:tcBorders/>
            <w:shd w:fill="CCEEFF" w:val="clear"/>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545,545</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479,982</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640,851</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573,449</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100.0</w:t>
            </w:r>
          </w:p>
        </w:tc>
        <w:tc>
          <w:tcPr>
            <w:tcW w:w="282" w:type="dxa"/>
            <w:tcBorders/>
            <w:shd w:fill="CCEEFF" w:val="clear"/>
            <w:vAlign w:val="bottom"/>
          </w:tcPr>
          <w:p>
            <w:pPr>
              <w:pStyle w:val="TableContents"/>
              <w:bidi w:val="0"/>
              <w:spacing w:before="0" w:after="283"/>
              <w:jc w:val="left"/>
              <w:rPr/>
            </w:pPr>
            <w:r>
              <w:rPr/>
              <w:t>% </w:t>
            </w:r>
          </w:p>
        </w:tc>
      </w:tr>
      <w:tr>
        <w:trPr/>
        <w:tc>
          <w:tcPr>
            <w:tcW w:w="1562"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2"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attributes revenues to individual geographic regions based on the location where services are performed.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$89.6 million, $25.3 million, and $26.5 million were attributed to services performed in Brazil, Mexico, and Colombia, respectively, for the nine months ended September 30, 2025 and international revenues of $65.2 million, $22.7 million, and $18.5 million were attributed to services performed in Brazil, Mexico, and Colombia, respectively, for the nine months ended September 30, 2024. Revenues attributed to other countries were not individually material for the periods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$32.3 million and $62.1 million were attributed to services performed in Mexico for the years ended December 31, 2024 and 2023, respectively. International revenues of $88.4 million and $53.2 million were attributed to services performed in Brazil for the years ended December 31, 2024 and 2023, respectively. Revenues attributed to other countries were not individually material for the periods presented.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net book value of property, plant and equipment by geographic region(1) as of September 30, 2025 and December 31, 2024 and 2023 (in thousands): </w:t>
      </w:r>
    </w:p>
    <w:p>
      <w:pPr>
        <w:pStyle w:val="TextBody"/>
        <w:bidi w:val="0"/>
        <w:spacing w:before="0" w:after="0"/>
        <w:jc w:val="left"/>
        <w:rPr/>
      </w:pPr>
      <w:r>
        <w:rPr/>
        <w:t> </w:t>
      </w:r>
    </w:p>
    <w:tbl>
      <w:tblPr>
        <w:tblW w:w="10655" w:type="dxa"/>
        <w:jc w:val="center"/>
        <w:tblInd w:w="0" w:type="dxa"/>
        <w:tblLayout w:type="fixed"/>
        <w:tblCellMar>
          <w:top w:w="0" w:type="dxa"/>
          <w:left w:w="0" w:type="dxa"/>
          <w:bottom w:w="0" w:type="dxa"/>
          <w:right w:w="0" w:type="dxa"/>
        </w:tblCellMar>
      </w:tblPr>
      <w:tblGrid>
        <w:gridCol w:w="1130"/>
        <w:gridCol w:w="120"/>
        <w:gridCol w:w="306"/>
        <w:gridCol w:w="1754"/>
        <w:gridCol w:w="60"/>
        <w:gridCol w:w="120"/>
        <w:gridCol w:w="60"/>
        <w:gridCol w:w="560"/>
        <w:gridCol w:w="275"/>
        <w:gridCol w:w="60"/>
        <w:gridCol w:w="297"/>
        <w:gridCol w:w="1703"/>
        <w:gridCol w:w="60"/>
        <w:gridCol w:w="120"/>
        <w:gridCol w:w="60"/>
        <w:gridCol w:w="560"/>
        <w:gridCol w:w="275"/>
        <w:gridCol w:w="60"/>
        <w:gridCol w:w="297"/>
        <w:gridCol w:w="1703"/>
        <w:gridCol w:w="60"/>
        <w:gridCol w:w="120"/>
        <w:gridCol w:w="60"/>
        <w:gridCol w:w="560"/>
        <w:gridCol w:w="275"/>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September 30,</w:t>
              <w:br/>
              <w:t>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w:t>
              <w:br/>
              <w:t>2024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w:t>
              <w:br/>
              <w:t>2023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754" w:type="dxa"/>
            <w:tcBorders/>
            <w:shd w:fill="CCEEFF" w:val="clear"/>
            <w:vAlign w:val="bottom"/>
          </w:tcPr>
          <w:p>
            <w:pPr>
              <w:pStyle w:val="TableContents"/>
              <w:bidi w:val="0"/>
              <w:spacing w:before="0" w:after="283"/>
              <w:jc w:val="right"/>
              <w:rPr/>
            </w:pPr>
            <w:r>
              <w:rPr/>
              <w:t>658,080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3" w:type="dxa"/>
            <w:tcBorders/>
            <w:shd w:fill="CCEEFF" w:val="clear"/>
            <w:vAlign w:val="bottom"/>
          </w:tcPr>
          <w:p>
            <w:pPr>
              <w:pStyle w:val="TableContents"/>
              <w:bidi w:val="0"/>
              <w:spacing w:before="0" w:after="283"/>
              <w:jc w:val="right"/>
              <w:rPr/>
            </w:pPr>
            <w:r>
              <w:rPr/>
              <w:t>598,481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88.7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3" w:type="dxa"/>
            <w:tcBorders/>
            <w:shd w:fill="CCEEFF" w:val="clear"/>
            <w:vAlign w:val="bottom"/>
          </w:tcPr>
          <w:p>
            <w:pPr>
              <w:pStyle w:val="TableContents"/>
              <w:bidi w:val="0"/>
              <w:spacing w:before="0" w:after="283"/>
              <w:jc w:val="right"/>
              <w:rPr/>
            </w:pPr>
            <w:r>
              <w:rPr/>
              <w:t>522,347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86.7</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International(2)</w:t>
            </w:r>
          </w:p>
        </w:tc>
        <w:tc>
          <w:tcPr>
            <w:tcW w:w="120"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754" w:type="dxa"/>
            <w:tcBorders/>
            <w:vAlign w:val="bottom"/>
          </w:tcPr>
          <w:p>
            <w:pPr>
              <w:pStyle w:val="TableContents"/>
              <w:bidi w:val="0"/>
              <w:spacing w:before="0" w:after="283"/>
              <w:jc w:val="right"/>
              <w:rPr/>
            </w:pPr>
            <w:r>
              <w:rPr/>
              <w:t>75,719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before="0" w:after="283"/>
              <w:jc w:val="right"/>
              <w:rPr/>
            </w:pPr>
            <w:r>
              <w:rPr/>
              <w:t>76,248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703" w:type="dxa"/>
            <w:tcBorders/>
            <w:vAlign w:val="bottom"/>
          </w:tcPr>
          <w:p>
            <w:pPr>
              <w:pStyle w:val="TableContents"/>
              <w:bidi w:val="0"/>
              <w:spacing w:before="0" w:after="283"/>
              <w:jc w:val="right"/>
              <w:rPr/>
            </w:pPr>
            <w:r>
              <w:rPr/>
              <w:t>80,075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13.3</w:t>
            </w:r>
          </w:p>
        </w:tc>
        <w:tc>
          <w:tcPr>
            <w:tcW w:w="275"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13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754" w:type="dxa"/>
            <w:tcBorders/>
            <w:shd w:fill="CCEEFF" w:val="clear"/>
            <w:vAlign w:val="bottom"/>
          </w:tcPr>
          <w:p>
            <w:pPr>
              <w:pStyle w:val="TableContents"/>
              <w:bidi w:val="0"/>
              <w:spacing w:before="0" w:after="283"/>
              <w:jc w:val="right"/>
              <w:rPr/>
            </w:pPr>
            <w:r>
              <w:rPr/>
              <w:t>733,799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3" w:type="dxa"/>
            <w:tcBorders/>
            <w:shd w:fill="CCEEFF" w:val="clear"/>
            <w:vAlign w:val="bottom"/>
          </w:tcPr>
          <w:p>
            <w:pPr>
              <w:pStyle w:val="TableContents"/>
              <w:bidi w:val="0"/>
              <w:spacing w:before="0" w:after="283"/>
              <w:jc w:val="right"/>
              <w:rPr/>
            </w:pPr>
            <w:r>
              <w:rPr/>
              <w:t>674,729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w:t>
            </w:r>
          </w:p>
        </w:tc>
        <w:tc>
          <w:tcPr>
            <w:tcW w:w="1703" w:type="dxa"/>
            <w:tcBorders/>
            <w:shd w:fill="CCEEFF" w:val="clear"/>
            <w:vAlign w:val="bottom"/>
          </w:tcPr>
          <w:p>
            <w:pPr>
              <w:pStyle w:val="TableContents"/>
              <w:bidi w:val="0"/>
              <w:spacing w:before="0" w:after="283"/>
              <w:jc w:val="right"/>
              <w:rPr/>
            </w:pPr>
            <w:r>
              <w:rPr/>
              <w:t>602,422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7" w:type="dxa"/>
            <w:tcBorders/>
            <w:vAlign w:val="bottom"/>
          </w:tcPr>
          <w:p>
            <w:pPr>
              <w:pStyle w:val="TableContents"/>
              <w:pBdr>
                <w:top w:val="single" w:sz="2" w:space="1" w:color="000000"/>
              </w:pBdr>
              <w:bidi w:val="0"/>
              <w:spacing w:before="0" w:after="0"/>
              <w:jc w:val="left"/>
              <w:rPr/>
            </w:pPr>
            <w:r>
              <w:rPr/>
              <w:t> </w:t>
            </w:r>
          </w:p>
        </w:tc>
        <w:tc>
          <w:tcPr>
            <w:tcW w:w="17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property, plant and equipment of $66.2 million, $68.7 million, and $70.6 million were owned by certain Mexican subsidiaries of the Company as of September 30, 2025, December 31, 2024, and December 31, 2023, respectively. Property, plant and equipment attributed to other countries were not individually material as of any of the dates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Foreign Operations </w:t>
      </w:r>
    </w:p>
    <w:p>
      <w:pPr>
        <w:pStyle w:val="TextBody"/>
        <w:bidi w:val="0"/>
        <w:spacing w:before="120" w:after="0"/>
        <w:jc w:val="left"/>
        <w:rPr>
          <w:rFonts w:ascii="Times New Roman" w:hAnsi="Times New Roman"/>
          <w:sz w:val="20"/>
        </w:rPr>
      </w:pPr>
      <w:r>
        <w:rPr>
          <w:rFonts w:ascii="Times New Roman" w:hAnsi="Times New Roman"/>
          <w:sz w:val="20"/>
        </w:rPr>
        <w:t xml:space="preserve">Operating in foreign markets presents many political, social and economic challenges. Although we take measures to mitigate these risks, they cannot be completely eliminated. See “Risk Factors” for a further discussion of the risks of operating in foreign markets. </w:t>
      </w:r>
    </w:p>
    <w:p>
      <w:pPr>
        <w:pStyle w:val="TextBody"/>
        <w:bidi w:val="0"/>
        <w:spacing w:before="360" w:after="0"/>
        <w:jc w:val="left"/>
        <w:rPr>
          <w:rFonts w:ascii="Times New Roman" w:hAnsi="Times New Roman"/>
          <w:b/>
          <w:sz w:val="20"/>
        </w:rPr>
      </w:pPr>
      <w:r>
        <w:rPr>
          <w:rFonts w:ascii="Times New Roman" w:hAnsi="Times New Roman"/>
          <w:b/>
          <w:sz w:val="20"/>
        </w:rPr>
        <w:t xml:space="preserve">Reportable Segments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240" w:after="0"/>
        <w:jc w:val="left"/>
        <w:rPr>
          <w:rFonts w:ascii="Times New Roman" w:hAnsi="Times New Roman"/>
          <w:sz w:val="20"/>
        </w:rPr>
      </w:pPr>
      <w:r>
        <w:rPr>
          <w:rFonts w:ascii="Times New Roman" w:hAnsi="Times New Roman"/>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periods ended September 30, 2025 and 2024. The measure of segment assets is reported on the consolidated balance sheet as total assets as of September 30, 2025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60" w:after="0"/>
        <w:jc w:val="left"/>
        <w:rPr>
          <w:rFonts w:ascii="Times New Roman" w:hAnsi="Times New Roman"/>
          <w:b/>
          <w:sz w:val="20"/>
        </w:rPr>
      </w:pPr>
      <w:r>
        <w:rPr>
          <w:rFonts w:ascii="Times New Roman" w:hAnsi="Times New Roman"/>
          <w:b/>
          <w:sz w:val="20"/>
        </w:rPr>
        <w:t xml:space="preserve">Ongoing Acquisition/Investment Activities </w:t>
      </w:r>
    </w:p>
    <w:p>
      <w:pPr>
        <w:pStyle w:val="TextBody"/>
        <w:bidi w:val="0"/>
        <w:spacing w:before="120" w:after="0"/>
        <w:jc w:val="left"/>
        <w:rPr>
          <w:rFonts w:ascii="Times New Roman" w:hAnsi="Times New Roman"/>
          <w:sz w:val="20"/>
        </w:rPr>
      </w:pPr>
      <w:r>
        <w:rPr>
          <w:rFonts w:ascii="Times New Roman" w:hAnsi="Times New Roman"/>
          <w:sz w:val="20"/>
        </w:rPr>
        <w:t xml:space="preserve">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 </w:t>
      </w:r>
    </w:p>
    <w:p>
      <w:pPr>
        <w:pStyle w:val="TextBody"/>
        <w:bidi w:val="0"/>
        <w:spacing w:before="240" w:after="0"/>
        <w:jc w:val="left"/>
        <w:rPr>
          <w:rFonts w:ascii="Times New Roman" w:hAnsi="Times New Roman"/>
          <w:sz w:val="20"/>
        </w:rPr>
      </w:pPr>
      <w:r>
        <w:rPr>
          <w:rFonts w:ascii="Times New Roman" w:hAnsi="Times New Roman"/>
          <w:sz w:val="20"/>
        </w:rPr>
        <w:t xml:space="preserve">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GoA. Offshore wind construction projects on the U.S. East Coast are seasonal, typically occurring between April and September of each year. Servicing of existing offshore wind facilities with C/SOVs is expected to occur year-round. Our government business is unaffected by seasonality. Humanitarian assistance and disaster relief efforts have typically been more pervasive during the hurricane season. </w:t>
      </w:r>
    </w:p>
    <w:p>
      <w:pPr>
        <w:pStyle w:val="TextBody"/>
        <w:bidi w:val="0"/>
        <w:spacing w:before="360" w:after="0"/>
        <w:jc w:val="left"/>
        <w:rPr>
          <w:rFonts w:ascii="Times New Roman" w:hAnsi="Times New Roman"/>
          <w:b/>
          <w:sz w:val="20"/>
        </w:rPr>
      </w:pPr>
      <w:r>
        <w:rPr>
          <w:rFonts w:ascii="Times New Roman" w:hAnsi="Times New Roman"/>
          <w:b/>
          <w:sz w:val="20"/>
        </w:rPr>
        <w:t xml:space="preserve">Legal Matters </w:t>
      </w:r>
    </w:p>
    <w:p>
      <w:pPr>
        <w:pStyle w:val="TextBody"/>
        <w:bidi w:val="0"/>
        <w:spacing w:before="120" w:after="0"/>
        <w:jc w:val="left"/>
        <w:rPr>
          <w:rFonts w:ascii="Times New Roman" w:hAnsi="Times New Roman"/>
          <w:sz w:val="20"/>
        </w:rPr>
      </w:pPr>
      <w:r>
        <w:rPr>
          <w:rFonts w:ascii="Times New Roman" w:hAnsi="Times New Roman"/>
          <w:sz w:val="20"/>
        </w:rPr>
        <w:t xml:space="preserve">We may be party to various legal proceedings and claims from time to time in the ordinary course of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Mexico Litigation </w:t>
      </w:r>
    </w:p>
    <w:p>
      <w:pPr>
        <w:pStyle w:val="TextBody"/>
        <w:bidi w:val="0"/>
        <w:spacing w:before="120" w:after="0"/>
        <w:jc w:val="left"/>
        <w:rPr>
          <w:rFonts w:ascii="Times New Roman" w:hAnsi="Times New Roman"/>
          <w:sz w:val="20"/>
        </w:rPr>
      </w:pPr>
      <w:r>
        <w:rPr>
          <w:rFonts w:ascii="Times New Roman" w:hAnsi="Times New Roman"/>
          <w:sz w:val="20"/>
        </w:rPr>
        <w:t xml:space="preserve">In 2023, Mexican regulators challenged our right to perform cabotage services in Mexico. As a result, we have taken legal and administrative actions to preserve our cabotage privileges there, and a Mexican court ordered that our privileges be reinstated. Despite this court ruling and SEMAR receiving confirmation from the DGIE that we comply with its requirement for foreign investment, SEMAR refuses to take the necessary steps to recognize our cabotage privileges. Following the DGIE notification, we obtained further provisional relief from a Mexican court. In the first quarter of 2026, we expect three of our Mexican-flagged vessels to return to Mexico to perform services under a long-term charter with an integrated oil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66194_10"/>
      <w:bookmarkEnd w:id="12"/>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concerning the individuals who will serve as our executive officers and directors upon the completion of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90"/>
        <w:gridCol w:w="60"/>
        <w:gridCol w:w="79"/>
        <w:gridCol w:w="348"/>
        <w:gridCol w:w="124"/>
        <w:gridCol w:w="248"/>
        <w:gridCol w:w="5756"/>
      </w:tblGrid>
      <w:tr>
        <w:trPr/>
        <w:tc>
          <w:tcPr>
            <w:tcW w:w="3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5756" w:type="dxa"/>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4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24"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Position(s)</w:t>
            </w:r>
          </w:p>
        </w:tc>
      </w:tr>
      <w:tr>
        <w:trPr/>
        <w:tc>
          <w:tcPr>
            <w:tcW w:w="359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Directors:</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8" w:type="dxa"/>
            <w:tcBorders/>
            <w:shd w:fill="CCEEFF" w:val="clear"/>
            <w:vAlign w:val="bottom"/>
          </w:tcPr>
          <w:p>
            <w:pPr>
              <w:pStyle w:val="TableContents"/>
              <w:bidi w:val="0"/>
              <w:spacing w:before="0" w:after="283"/>
              <w:jc w:val="left"/>
              <w:rPr>
                <w:sz w:val="4"/>
                <w:szCs w:val="4"/>
              </w:rPr>
            </w:pPr>
            <w:r>
              <w:rPr>
                <w:sz w:val="4"/>
                <w:szCs w:val="4"/>
              </w:rPr>
            </w:r>
          </w:p>
        </w:tc>
        <w:tc>
          <w:tcPr>
            <w:tcW w:w="124" w:type="dxa"/>
            <w:tcBorders/>
            <w:shd w:fill="CCEEFF" w:val="clear"/>
            <w:vAlign w:val="bottom"/>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57</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Chairman of the Board, President and Chief Executive Officer</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Kurt M. Cellar</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56</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Lead Independent Director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Evan Behrens</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56</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Director</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Bobby Jindal</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54</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Director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Sylvia Jo Sydow Kerrigan</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60</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Director</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McConeghy</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32</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Director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Jacob Mercer</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50</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Director</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 Don Miller</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63</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Director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Aaron Rosen</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44</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Director</w:t>
            </w:r>
          </w:p>
        </w:tc>
      </w:tr>
      <w:tr>
        <w:trPr/>
        <w:tc>
          <w:tcPr>
            <w:tcW w:w="359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Chairman Emeritus:</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sz w:val="4"/>
                <w:szCs w:val="4"/>
              </w:rPr>
            </w:pPr>
            <w:r>
              <w:rPr>
                <w:sz w:val="4"/>
                <w:szCs w:val="4"/>
              </w:rPr>
            </w:r>
          </w:p>
        </w:tc>
        <w:tc>
          <w:tcPr>
            <w:tcW w:w="348" w:type="dxa"/>
            <w:tcBorders/>
            <w:shd w:fill="CCEEFF" w:val="clear"/>
          </w:tcPr>
          <w:p>
            <w:pPr>
              <w:pStyle w:val="TableContents"/>
              <w:bidi w:val="0"/>
              <w:spacing w:before="0" w:after="283"/>
              <w:jc w:val="left"/>
              <w:rPr>
                <w:sz w:val="4"/>
                <w:szCs w:val="4"/>
              </w:rPr>
            </w:pPr>
            <w:r>
              <w:rPr>
                <w:sz w:val="4"/>
                <w:szCs w:val="4"/>
              </w:rPr>
            </w:r>
          </w:p>
        </w:tc>
        <w:tc>
          <w:tcPr>
            <w:tcW w:w="124" w:type="dxa"/>
            <w:tcBorders/>
            <w:shd w:fill="CCEEFF" w:val="clear"/>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Larry D. Hornbeck</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87</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Chairman Emeritus</w:t>
            </w:r>
          </w:p>
        </w:tc>
      </w:tr>
      <w:tr>
        <w:trPr/>
        <w:tc>
          <w:tcPr>
            <w:tcW w:w="3590" w:type="dxa"/>
            <w:tcBorders/>
            <w:shd w:fill="CCEEFF" w:val="clear"/>
          </w:tcPr>
          <w:p>
            <w:pPr>
              <w:pStyle w:val="TableContents"/>
              <w:bidi w:val="0"/>
              <w:spacing w:before="0" w:after="0"/>
              <w:jc w:val="left"/>
              <w:rPr>
                <w:rFonts w:ascii="Times New Roman" w:hAnsi="Times New Roman"/>
                <w:b/>
                <w:i/>
                <w:sz w:val="20"/>
              </w:rPr>
            </w:pPr>
            <w:r>
              <w:rPr>
                <w:rFonts w:ascii="Times New Roman" w:hAnsi="Times New Roman"/>
                <w:b/>
                <w:i/>
                <w:sz w:val="20"/>
              </w:rPr>
              <w:t>Other Executive Officers:</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sz w:val="4"/>
                <w:szCs w:val="4"/>
              </w:rPr>
            </w:pPr>
            <w:r>
              <w:rPr>
                <w:sz w:val="4"/>
                <w:szCs w:val="4"/>
              </w:rPr>
            </w:r>
          </w:p>
        </w:tc>
        <w:tc>
          <w:tcPr>
            <w:tcW w:w="348" w:type="dxa"/>
            <w:tcBorders/>
            <w:shd w:fill="CCEEFF" w:val="clear"/>
          </w:tcPr>
          <w:p>
            <w:pPr>
              <w:pStyle w:val="TableContents"/>
              <w:bidi w:val="0"/>
              <w:spacing w:before="0" w:after="283"/>
              <w:jc w:val="left"/>
              <w:rPr>
                <w:sz w:val="4"/>
                <w:szCs w:val="4"/>
              </w:rPr>
            </w:pPr>
            <w:r>
              <w:rPr>
                <w:sz w:val="4"/>
                <w:szCs w:val="4"/>
              </w:rPr>
            </w:r>
          </w:p>
        </w:tc>
        <w:tc>
          <w:tcPr>
            <w:tcW w:w="124" w:type="dxa"/>
            <w:tcBorders/>
            <w:shd w:fill="CCEEFF" w:val="clear"/>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tcPr>
          <w:p>
            <w:pPr>
              <w:pStyle w:val="TableContents"/>
              <w:bidi w:val="0"/>
              <w:spacing w:before="0" w:after="283"/>
              <w:jc w:val="left"/>
              <w:rPr>
                <w:sz w:val="4"/>
                <w:szCs w:val="4"/>
              </w:rPr>
            </w:pPr>
            <w:r>
              <w:rPr>
                <w:sz w:val="4"/>
                <w:szCs w:val="4"/>
              </w:rPr>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69</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Executive Vice President—Military, Engineering, Repair &amp; Maintenance</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65</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Executive Vice President and Chief Financial Officer</w:t>
            </w:r>
          </w:p>
        </w:tc>
      </w:tr>
      <w:tr>
        <w:trPr/>
        <w:tc>
          <w:tcPr>
            <w:tcW w:w="3590" w:type="dxa"/>
            <w:tcBorders/>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60"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8" w:type="dxa"/>
            <w:tcBorders/>
          </w:tcPr>
          <w:p>
            <w:pPr>
              <w:pStyle w:val="TableContents"/>
              <w:bidi w:val="0"/>
              <w:spacing w:before="0" w:after="283"/>
              <w:jc w:val="right"/>
              <w:rPr/>
            </w:pPr>
            <w:r>
              <w:rPr/>
              <w:t>63</w:t>
            </w:r>
          </w:p>
        </w:tc>
        <w:tc>
          <w:tcPr>
            <w:tcW w:w="124" w:type="dxa"/>
            <w:tcBorders/>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5756" w:type="dxa"/>
            <w:tcBorders/>
            <w:vAlign w:val="bottom"/>
          </w:tcPr>
          <w:p>
            <w:pPr>
              <w:pStyle w:val="TableContents"/>
              <w:bidi w:val="0"/>
              <w:spacing w:before="0" w:after="283"/>
              <w:jc w:val="left"/>
              <w:rPr/>
            </w:pPr>
            <w:r>
              <w:rPr/>
              <w:t>Executive Vice President, General Counsel and Corporate Secretary</w:t>
            </w:r>
          </w:p>
        </w:tc>
      </w:tr>
      <w:tr>
        <w:trPr/>
        <w:tc>
          <w:tcPr>
            <w:tcW w:w="35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8" w:type="dxa"/>
            <w:tcBorders/>
            <w:shd w:fill="CCEEFF" w:val="clear"/>
          </w:tcPr>
          <w:p>
            <w:pPr>
              <w:pStyle w:val="TableContents"/>
              <w:bidi w:val="0"/>
              <w:spacing w:before="0" w:after="283"/>
              <w:jc w:val="right"/>
              <w:rPr/>
            </w:pPr>
            <w:r>
              <w:rPr/>
              <w:t>56</w:t>
            </w:r>
          </w:p>
        </w:tc>
        <w:tc>
          <w:tcPr>
            <w:tcW w:w="124" w:type="dxa"/>
            <w:tcBorders/>
            <w:shd w:fill="CCEEFF" w:val="clear"/>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5756" w:type="dxa"/>
            <w:tcBorders/>
            <w:shd w:fill="CCEEFF" w:val="clear"/>
            <w:vAlign w:val="bottom"/>
          </w:tcPr>
          <w:p>
            <w:pPr>
              <w:pStyle w:val="TableContents"/>
              <w:bidi w:val="0"/>
              <w:spacing w:before="0" w:after="283"/>
              <w:jc w:val="left"/>
              <w:rPr/>
            </w:pPr>
            <w:r>
              <w:rPr/>
              <w:t>Executive Vice President and Chief Commercial Officer</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b/>
          <w:i/>
          <w:sz w:val="20"/>
        </w:rPr>
        <w:t xml:space="preserve">Todd M. Hornbeck </w:t>
      </w:r>
      <w:r>
        <w:rPr>
          <w:rFonts w:ascii="Times New Roman" w:hAnsi="Times New Roman"/>
          <w:sz w:val="20"/>
        </w:rPr>
        <w:t xml:space="preserve">is currently serving as our Chairman of the Board, President and Chief Executive Officer and founded Hornbeck in June 1997. Mr. Todd Hornbeck has served as the President and director of Hornbeck since founding the Company. Mr. Todd Hornbeck also served as Chief Operating Officer until February 2002, at which time he was appointed Chief Executive Officer. Additionally, in May 2005 he was appointed Chairman of the Board of Directors. Prior to founding Hornbeck, Mr. Todd Hornbeck was employed by the original Hornbeck Offshore Services, Inc., a NASDAQ-listed publicly traded offshore service vessel company founded by his father, Mr. Larry Hornbeck, our Chairman Emeritus, with over 105 offshore supply vessels operating worldwide, from 1991 to 1996, serving in various positions relating to business strategy and development. Following the Company’s merger with Tidewater Inc. (“Tidewater”) in March 1996, Mr. Todd Hornbeck accepted a position as Marketing Director-Gulf of America with Tidewater, where his responsibilities included managing relationships and overall business development in the U.S. GoA region. He remained with Tidewater until the Company’s formation. Mr. Todd Hornbeck has served on the board of directors of the ISOA, the Offshore Marine Service Association (“OMSA”) and the National Ocean Industries Association (“NOIA”). Mr. Todd Hornbeck’s extensive experience in the offshore service vessel industry, and over 25 years leading our company, positions him well to serve as our Chairman, President and Chief Executive Officer. As our founder, Mr. Todd Hornbeck brings his vision and goals for the Company to our Board of Directors. Under his leadership, we have expanded from a small private company to a large, global provider of technologically advanced offshore supply and multipurpose service vessels. The current Company carries the Hornbeck family name, uses the same horsehead logo and trademarks as the prior company and is able to benefit from long-standing working relationships with customers, vendors and Wall Street analysts, many of whom also had relationships with Messrs. Todd and Larry Hornbeck at the prior public company. Unlike other companies that are led by non-founding managers, the Company benefits from the history, entrepreneurial spirit, industry expertise and leadership of its founder.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Kurt M. Cellar </w:t>
      </w:r>
      <w:r>
        <w:rPr>
          <w:rFonts w:ascii="Times New Roman" w:hAnsi="Times New Roman"/>
          <w:sz w:val="20"/>
        </w:rPr>
        <w:t xml:space="preserve">has served as our Lead Independent Director since September 2020 and, upon completion of this offering, is expected to serve as a director of Hornbeck. Mr. Cellar currently serves as Lead Independent Director for American Banknote Corporation, where he serves as Chairman of both the Strategic Committee and Audit Committees. Mr. Cellar has served on the boards of more than twenty corporations over his career. In the past five years he has served as a corporate director for Six Flags Entertainment Corp (NYSE: SIX), U.S. Concrete, Inc. (NASDAQ: USCR), Guitar Center, Inc., Hawaiian Telecom, Inc. (NASDAQ: HCOM), and Home Buyers Warranty, Inc. From July 1999 until his retirement in January 2008, Mr. Cellar served as analyst, Director of Research and for the last five years as Partner and Portfolio Manager for Bay Harbour Management, LP. The firm received numerous awards including Absolute Returns Hedge Fund of the Year award in 2006. Prior to joining Bay Harbour, Mr. Cellar worked for the investment firm Remy Investors and Consultants and for the strategic consulting firm, LEK. Mr. Cellar received a B.A. in Economics/Business from the University of California, Los Angeles and a Masters of Business Administration in Finance from the Wharton School of Business at the University of Pennsylvania. Mr. Cellar is a retired Chartered Financial Analyst. We believe that Mr. Cellar is qualified to serve on our Board of Directors based on his significant financial and accounting experience as well as his public company board experience. </w:t>
      </w:r>
    </w:p>
    <w:p>
      <w:pPr>
        <w:pStyle w:val="TextBody"/>
        <w:bidi w:val="0"/>
        <w:spacing w:before="240" w:after="0"/>
        <w:jc w:val="left"/>
        <w:rPr>
          <w:rFonts w:ascii="Times New Roman" w:hAnsi="Times New Roman"/>
          <w:sz w:val="20"/>
        </w:rPr>
      </w:pPr>
      <w:r>
        <w:rPr>
          <w:rFonts w:ascii="Times New Roman" w:hAnsi="Times New Roman"/>
          <w:b/>
          <w:i/>
          <w:sz w:val="20"/>
        </w:rPr>
        <w:t>Evan Behrens</w:t>
      </w:r>
      <w:r>
        <w:rPr>
          <w:rFonts w:ascii="Times New Roman" w:hAnsi="Times New Roman"/>
          <w:sz w:val="20"/>
        </w:rPr>
        <w:t xml:space="preserve"> has served as a director of Hornbeck since September 2020. Mr. Behrens currently serves as Managing Member of B Capital Advisors LLC, an investment firm. Previously, Mr. Behrens served as Senior Vice President of Business Development at SEACOR Holdings from May 2009 to May 2017. Mr. Behrens initially joined SEACOR Holdings in 2008 and managed its involvement in numerous significant investments and transactions. Prior to joining SEACOR Holdings, Mr. Behrens served as a partner at Level Global Investors and prior to that, founded and managed Infinity Point (formerly Behrens Rubinoff Capital Partners). Mr. Behrens previously served in various positions at Paribas Corporation, Odyssey Partners/Ulysses Management and SAC Capital Management. Mr. Behrens currently serves on the board of directors of Oppenheimer Holdings Inc., a multinational independent investment bank and financial services company. Previously, Mr. Behrens served as a board member of SEACOR Marine Holdings, Harte-Hanks, Inc., Continental Insurance Group, Ltd, Penford Corporation, Global Marin Systems Limited, Trailer Bridge, Inc., Sidewinder Drilling LLC and Stemline Therapeutics. Mr. Behrens obtained an A.B. degree in political science from the University of Chicago. We believe that Mr. Behrens is qualified to serve as a director based on his broad experience regarding business valuations, mergers and acquisitions and investment management. </w:t>
      </w:r>
    </w:p>
    <w:p>
      <w:pPr>
        <w:pStyle w:val="TextBody"/>
        <w:bidi w:val="0"/>
        <w:spacing w:before="240" w:after="0"/>
        <w:jc w:val="left"/>
        <w:rPr>
          <w:rFonts w:ascii="Times New Roman" w:hAnsi="Times New Roman"/>
          <w:sz w:val="20"/>
        </w:rPr>
      </w:pPr>
      <w:r>
        <w:rPr>
          <w:rFonts w:ascii="Times New Roman" w:hAnsi="Times New Roman"/>
          <w:b/>
          <w:i/>
          <w:sz w:val="20"/>
        </w:rPr>
        <w:t>Bobby Jindal</w:t>
      </w:r>
      <w:r>
        <w:rPr>
          <w:rFonts w:ascii="Times New Roman" w:hAnsi="Times New Roman"/>
          <w:sz w:val="20"/>
        </w:rPr>
        <w:t xml:space="preserve"> has served as a director of Hornbeck since September 2020. Since 2017, Mr. Jindal has served as an operating advisor to the Ares Private Equity Group. Mr. Jindal served as the governor of the State of Louisiana from January 2008 to January 2016. Prior to that,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He has previously served as a director of Cotton Holdings, LifeMD and WellCare Health Plans, Inc. Mr. Jindal obtained a B.S. from Brown University and a Masters of Letters in Politics from Oxford University at New College. We believe that Mr. Jindal is qualified to serve as a director because his broad financial and diplomatic experience makes him an invaluable asset as the Company delves into further diversification efforts, and the achievement of our strategic objectives. </w:t>
      </w:r>
    </w:p>
    <w:p>
      <w:pPr>
        <w:pStyle w:val="TextBody"/>
        <w:bidi w:val="0"/>
        <w:spacing w:before="240" w:after="0"/>
        <w:jc w:val="left"/>
        <w:rPr>
          <w:rFonts w:ascii="Times New Roman" w:hAnsi="Times New Roman"/>
          <w:sz w:val="20"/>
        </w:rPr>
      </w:pPr>
      <w:r>
        <w:rPr>
          <w:rFonts w:ascii="Times New Roman" w:hAnsi="Times New Roman"/>
          <w:b/>
          <w:i/>
          <w:sz w:val="20"/>
        </w:rPr>
        <w:t>Sylvia Jo Sydow Kerrigan</w:t>
      </w:r>
      <w:r>
        <w:rPr>
          <w:rFonts w:ascii="Times New Roman" w:hAnsi="Times New Roman"/>
          <w:sz w:val="20"/>
        </w:rPr>
        <w:t xml:space="preserve"> has served as a director of Hornbeck since August 2022. Ms. Kerrigan currently serves as the Senior Vice President and Chief Legal Officer of Occidental Petroleum Company. She also serves on the board of directors of Diversified Energy, LLC and on the Board of Trustees for Southwestern University. She previously held various positions at Marathon Oil Corporation from 1995 to 2017, including serving as the Executive Vice President, General Counsel and Secretary and as the Chief Public Policy Officer and Chief Compliance Officer. Ms. Kerrigan worked at the United Nations Security Council’s Commission d’Indemnisation in Geneva, Switzerland from 2000 to 2002, serving as the senior legal officer responsible for arbitrating losses sustained by international oil companies following the 1990 Iraqi invasion of Kuwait. Ms. Kerrigan is past chairman of the State Bar of Texas International Law Section and a Life Fellow of the Texas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Bar Foundation. She also previously served as Executive Director of the Kay Bailey Hutchinson Energy Center for Business Law and Policy at the University of Texas in Austin. Ms. Kerrigan previously served on the boards of directors of Team, Inc., Nine Point Energy and Alta Mesa Resources. We believe that Ms. Kerrigan is qualified to serve as a director because she brings to our Board of Directors significant major oil company executive experience and critical insights into the issues facing the oil and gas industry. </w:t>
      </w:r>
    </w:p>
    <w:p>
      <w:pPr>
        <w:pStyle w:val="TextBody"/>
        <w:bidi w:val="0"/>
        <w:spacing w:before="240" w:after="0"/>
        <w:jc w:val="left"/>
        <w:rPr>
          <w:rFonts w:ascii="Times New Roman" w:hAnsi="Times New Roman"/>
          <w:sz w:val="20"/>
        </w:rPr>
      </w:pPr>
      <w:r>
        <w:rPr>
          <w:rFonts w:ascii="Times New Roman" w:hAnsi="Times New Roman"/>
          <w:b/>
          <w:i/>
          <w:sz w:val="20"/>
        </w:rPr>
        <w:t>James McConeghy</w:t>
      </w:r>
      <w:r>
        <w:rPr>
          <w:rFonts w:ascii="Times New Roman" w:hAnsi="Times New Roman"/>
          <w:sz w:val="20"/>
        </w:rPr>
        <w:t xml:space="preserve"> has served as a director of Hornbeck since February 2024. Mr. McConeghy is a Vice President in the Ares Credit Group, where he focuses on opportunistic credit investing. Prior to joining Ares in 2019, Mr. McConeghy was an Investment Banking Analyst at Moelis &amp; Company from July 2017 to June 2019. Previously, Mr. McConeghy was an Associate in PricewaterhouseCoopers’s Transaction Services Group from September 2015 to June 2017. He currently serves on the boards for the parent entities of Virgin Voyages, TriMark USA, Swissport and Convene. Mr. McConeghy holds a B.S. from Villanova University in Accountancy. He holds a CPA license (inactive) in the Commonwealth of Pennsylvania. Mr. McConeghy is qualified to serve as a director based on his investment and financial expertise. </w:t>
      </w:r>
    </w:p>
    <w:p>
      <w:pPr>
        <w:pStyle w:val="TextBody"/>
        <w:bidi w:val="0"/>
        <w:spacing w:before="240" w:after="0"/>
        <w:jc w:val="left"/>
        <w:rPr>
          <w:rFonts w:ascii="Times New Roman" w:hAnsi="Times New Roman"/>
          <w:sz w:val="20"/>
        </w:rPr>
      </w:pPr>
      <w:r>
        <w:rPr>
          <w:rFonts w:ascii="Times New Roman" w:hAnsi="Times New Roman"/>
          <w:b/>
          <w:i/>
          <w:sz w:val="20"/>
        </w:rPr>
        <w:t>Jacob Mercer</w:t>
      </w:r>
      <w:r>
        <w:rPr>
          <w:rFonts w:ascii="Times New Roman" w:hAnsi="Times New Roman"/>
          <w:sz w:val="20"/>
        </w:rPr>
        <w:t xml:space="preserve"> has served as a director of Hornbeck since July 2023. Mr. Mercer is a Partner, Head of Special Situations and Restructuring at Whitebox. Prior to joining Whitebox in 2007, Mr. Mercer worked for Xcel Energy Inc. (NASDAQ: XEL) (“Xcel Energy”) as Assistant Treasurer and Managing Director. Before joining Xcel Energy, he was a Senior Credit Analyst and Principal at Piper Jaffray and a Research Analyst at Voyageur Asset Management. Mr. Mercer also served as a logistics officer in the United States Army. Mr. Mercer has served as a director on numerous private and public company board of directors including current roles at HC Minerals since March 2024, Malamute Energy, Inc. since 2016, and Currax Pharmaceuticals LLC since 2018. Past director roles include GT Advanced Technologies Inc. (formerly NASDAQ: GTAT) from 2019 to 2021, Hi-Crush Inc. (formerly NYSE: HCR) from October 2020 to March 2024, and SAExploration Holdings, Inc. (Formerly NASDAQ: SAEX) from July 2016 to June 2019 and from February 2020 to December 2020. Mr. Mercer holds a B.A. with a double major in economics and business management from St. John’s University. He also holds the Chartered Financial Analyst (CFA) and the Certified Turnaround Professional (CTP) designations. We believe that Mr. Mercer is qualified to serve as a director based on his investment and financial expertise. </w:t>
      </w:r>
    </w:p>
    <w:p>
      <w:pPr>
        <w:pStyle w:val="TextBody"/>
        <w:bidi w:val="0"/>
        <w:spacing w:before="240" w:after="0"/>
        <w:jc w:val="left"/>
        <w:rPr>
          <w:rFonts w:ascii="Times New Roman" w:hAnsi="Times New Roman"/>
          <w:sz w:val="20"/>
        </w:rPr>
      </w:pPr>
      <w:r>
        <w:rPr>
          <w:rFonts w:ascii="Times New Roman" w:hAnsi="Times New Roman"/>
          <w:b/>
          <w:i/>
          <w:sz w:val="20"/>
        </w:rPr>
        <w:t>L. Don Miller</w:t>
      </w:r>
      <w:r>
        <w:rPr>
          <w:rFonts w:ascii="Times New Roman" w:hAnsi="Times New Roman"/>
          <w:sz w:val="20"/>
        </w:rPr>
        <w:t xml:space="preserve"> has served as a director of Hornbeck since February 2021. Mr. Miller is currently the Chief Financial Officer of Lake Resources NL. Prior to joining Lake Resources NL in December 2023, Mr. Miller served as President and Chief Executive Officer of Bristow Group Inc. (“Bristow”) from February 2019 to June 2020. He previously served as Senior Vice President and Chief Financial Officer of Bristow from August 2015 to February 2019. Before that he served as Bristow’s Senior Vice President, Mergers, Acquisitions and Integration from June 2015 to August 2015, its Vice President, Mergers, Acquisitions and Integration from November 2014 to June 2015 and its Vice President, Strategy and Structured Transactions from 2010 to 2014. Prior to joining Bristow, Mr. Miller worked as an independent consultant from 2008 to 2010 assisting companies in capital markets and in a financial advisory capacity. He was previously the post-petition President and Chief Executive Officer for Enron North America Corp. and Enron Power Marketing, Inc. from 2001 to 2007 and also served in senior financial positions with Enron, including Director – Finance and Vice President, Asset Marketing Group from 1998 to 2001. Mr. Miller served as a supervisory director for Franks International N.V., an energy services provider, from 2020 to 2021. His career also includes seven years in senior financial positions with Citicorp Securities, Inc. and four years as an account executive with Dean Witter Reynolds, Inc. Mr. Miller is a CFA Charterholder. We believe that Mr. Miller is qualified to serve as a director because of his extensive financial, industry and management experience. </w:t>
      </w:r>
    </w:p>
    <w:p>
      <w:pPr>
        <w:pStyle w:val="TextBody"/>
        <w:bidi w:val="0"/>
        <w:spacing w:before="240" w:after="0"/>
        <w:jc w:val="left"/>
        <w:rPr>
          <w:rFonts w:ascii="Times New Roman" w:hAnsi="Times New Roman"/>
          <w:sz w:val="20"/>
        </w:rPr>
      </w:pPr>
      <w:r>
        <w:rPr>
          <w:rFonts w:ascii="Times New Roman" w:hAnsi="Times New Roman"/>
          <w:b/>
          <w:i/>
          <w:sz w:val="20"/>
        </w:rPr>
        <w:t>Aaron Rosen</w:t>
      </w:r>
      <w:r>
        <w:rPr>
          <w:rFonts w:ascii="Times New Roman" w:hAnsi="Times New Roman"/>
          <w:sz w:val="20"/>
        </w:rPr>
        <w:t xml:space="preserve"> has served as a director of Hornbeck since December 2022. Mr. Rosen is a Partner, Co-Head of Opportunistic Credit and Co-Portfolio Manager of Special Opportunities in the Ares Credit Group, where he focuses on investing across the various Ares fund platforms. Mr. Rosen serves as a member of the Ares Credit Group’s Opportunistic Credit Investment Committee and the Ares Private Equity Group’s Corporate Opportunities Investment Committee. Mr. Rosen currently serves as a director, member of the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member of the nominating, governance and sustainability committee of the board of directors of Savers Value Village, Inc., positions he has held since April 2021. He also currently serves on the boards of the parent entities of Consolidated Precision Products, Form Technologies, TriMark USA, Virgin Voyages and WHP Global. Prior to joining Ares in 2018, Mr. Rosen was a Partner and Director of Research at Archview Investment Group, where he focused on credit and equity investments in both the U.S. and internationally. Prior to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We believe that Mr. Rosen is qualified to serve as a director because of his extensive financial and accounting expertise.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Chairman Emeritus </w:t>
      </w:r>
    </w:p>
    <w:p>
      <w:pPr>
        <w:pStyle w:val="TextBody"/>
        <w:bidi w:val="0"/>
        <w:spacing w:before="120" w:after="0"/>
        <w:jc w:val="left"/>
        <w:rPr>
          <w:rFonts w:ascii="Times New Roman" w:hAnsi="Times New Roman"/>
          <w:sz w:val="20"/>
        </w:rPr>
      </w:pPr>
      <w:r>
        <w:rPr>
          <w:rFonts w:ascii="Times New Roman" w:hAnsi="Times New Roman"/>
          <w:b/>
          <w:i/>
          <w:sz w:val="20"/>
        </w:rPr>
        <w:t>Larry D. Hornbeck</w:t>
      </w:r>
      <w:r>
        <w:rPr>
          <w:rFonts w:ascii="Times New Roman" w:hAnsi="Times New Roman"/>
          <w:sz w:val="20"/>
        </w:rPr>
        <w:t xml:space="preserve"> serves as Hornbeck’s Chairman Emeritus, a role he assumed in September 2020. An executive with over 50 years of experience in the offshore supply vessel business worldwide, Mr. Larry Hornbeck was the sole founder of the original Hornbeck Offshore Services, Inc., and from its inception in 1981 until its merger with Tidewater in March 1996, Mr. Larry Hornbeck served as the Chairman of the Board, President and Chief Executive Officer of Hornbeck Offshore Services, Inc. Following the merger, Mr. Larry Hornbeck served as a director and a member of the audit committee of Tidewater from March 1996 until October 2000. From 1969 to 1980, Mr. Larry Hornbeck served as an officer in various capacities, culminating as Chairman, President and Chief Executive Officer of Sealcraft Operators, Inc., a former NASDAQ-listed publicly traded offshore service vessel company operating 29 geophysical and specialty service vessels worldwide. He served on the board of directors and as chairman of the compensation committee of Coastal Towing, an inland marine tug and barge company. Mr. Larry Hornbeck assisted in orchestrating the founding of the current Company and is the father of Mr. Todd M. Hornbeck, our Chairman of the Board, President and Chief Executive Officer. In addition to the leadership roles in which Mr. Larry Hornbeck has served or currently serves, he has extensive involvement in international and domestic marine industry associations. Mr. Larry Hornbeck helped form and served on the boards of several marine industry associations, including the OMSA, and the NOIA. He also served on the board of directors of the American Bureau of Shipping and the ISOA. We believe that Mr. Hornbeck is qualified to serve as Chairman Emeritus because Mr. Larry Hornbeck brings to our Board of Directors a deep understanding of the operations of a public company in the offshore service vessel industry. With his many years of experience as both Chief Executive Officer and Chairman of the board of directors of the original Hornbeck Offshore Services, Inc. and of Sealcraft Operators, Inc., Mr. Larry Hornbeck brings not only management expertise, and unique technical knowledge of offshore service vessels and their application, construction and operation, but also has longstanding relationships with customers and vendors. This, combined with his years of experience as Chairman Emeritus and his continued active involvement in the Company, make him an invaluable contributor to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Executive Officers </w:t>
      </w:r>
    </w:p>
    <w:p>
      <w:pPr>
        <w:pStyle w:val="TextBody"/>
        <w:bidi w:val="0"/>
        <w:spacing w:before="120" w:after="0"/>
        <w:jc w:val="left"/>
        <w:rPr>
          <w:rFonts w:ascii="Times New Roman" w:hAnsi="Times New Roman"/>
          <w:sz w:val="20"/>
        </w:rPr>
      </w:pPr>
      <w:r>
        <w:rPr>
          <w:rFonts w:ascii="Times New Roman" w:hAnsi="Times New Roman"/>
          <w:b/>
          <w:i/>
          <w:sz w:val="20"/>
        </w:rPr>
        <w:t xml:space="preserve">Carl G. Annessa </w:t>
      </w:r>
      <w:r>
        <w:rPr>
          <w:rFonts w:ascii="Times New Roman" w:hAnsi="Times New Roman"/>
          <w:sz w:val="20"/>
        </w:rPr>
        <w:t xml:space="preserve">joined Hornbeck in September 1997 and is currently serving as our Executive Vice President—Military, Engineering, Repair &amp; Maintenance. Mr. Annessa previously served as our Chief Operating Officer from February 2002 to September 2020. Prior to February 2002, Mr. Annessa served as our Vice President of Operations beginning in September 1997. Mr. Annessa is responsible for executive oversight of the Company’s fleet operations and for oversight of design and implementation of our vessel construction and modification programs. Prior to joining Hornbeck, Mr. Annessa was employed for 17 years by Tidewater in various technical and operational management positions, including management of large fleets of offshore supply vessels in the Arabian Gulf, Caribbean and West African markets, and was responsible for the design of several of Tidewater’s vessels. Mr. Annessa was employed for two years by Avondale Shipyards, Inc. as a mechanical engineer before joining Tidewater. Mr. Annessa received a degree in naval architecture and marine engineering from the University of Michigan in 1979.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James O. Harp, Jr. </w:t>
      </w:r>
      <w:r>
        <w:rPr>
          <w:rFonts w:ascii="Times New Roman" w:hAnsi="Times New Roman"/>
          <w:sz w:val="20"/>
        </w:rPr>
        <w:t xml:space="preserve">joined Hornbeck in 2001 and is currently serving as our Executive Vice President and Chief Financial Officer. Mr. Harp has served as the Chief Financial Officer for Hornbeck since joining the Company. He was appointed Executive Vice President in February 2005. Prior to that time, he served as our Vice President beginning in January 2001. Before joining the Company, Mr. Harp served as Vice President in the Energy Groups of investment banking firms RBC Dominion Securities Corporation, from August 1999 to January 2001, and Jefferies &amp; Company, Inc. from June 1997 to August 1999. During his investment banking career, Mr. Harp worked extensively with marine-related oil service companies, including Hornbeck as an investment banker in connection with the Company’s private placement of common stock in November of 2000. From July 1982 to June 1997, he held roles of increasing responsibility in the tax section of Arthur Andersen LLP, ultimately serving as a Tax Principal, and had a significant concentration of international clients in the oil service and maritime industries. Since April 1992, he has also served as Treasurer and Director of SEISCO, Inc., a privately-held seismic brokerage company that he co-founded. In June 2023, Mr. Harp was appointed President of SEISCO, Inc. Mr. Harp is an inactive certified public accountant in Louisiana. </w:t>
      </w:r>
    </w:p>
    <w:p>
      <w:pPr>
        <w:pStyle w:val="TextBody"/>
        <w:bidi w:val="0"/>
        <w:spacing w:before="240" w:after="0"/>
        <w:jc w:val="left"/>
        <w:rPr>
          <w:rFonts w:ascii="Times New Roman" w:hAnsi="Times New Roman"/>
          <w:sz w:val="20"/>
        </w:rPr>
      </w:pPr>
      <w:r>
        <w:rPr>
          <w:rFonts w:ascii="Times New Roman" w:hAnsi="Times New Roman"/>
          <w:b/>
          <w:i/>
          <w:sz w:val="20"/>
        </w:rPr>
        <w:t xml:space="preserve">Samuel A. Giberga </w:t>
      </w:r>
      <w:r>
        <w:rPr>
          <w:rFonts w:ascii="Times New Roman" w:hAnsi="Times New Roman"/>
          <w:sz w:val="20"/>
        </w:rPr>
        <w:t xml:space="preserve">joined Hornbeck in January 2004 and is currently serving as our Executive Vice President, General Counsel and Corporate Secretary. Mr. Giberga has served as the General Counsel of Hornbeck since joining the Company. He was appointed Corporate Secretary in January 2021, Executive Vice President and Chief Compliance Officer in June 2011, and served as Senior Vice President beginning in February 2005. Prior to joining Hornbeck, Mr. Giberga was engaged in the private practice of law for 14 years. During his legal career, Mr. Giberga has worked extensively with marine and energy service companies in a variety of contexts with a concentration in general business, international and intellectual property matters. </w:t>
      </w:r>
    </w:p>
    <w:p>
      <w:pPr>
        <w:pStyle w:val="TextBody"/>
        <w:bidi w:val="0"/>
        <w:spacing w:before="240" w:after="0"/>
        <w:jc w:val="left"/>
        <w:rPr>
          <w:rFonts w:ascii="Times New Roman" w:hAnsi="Times New Roman"/>
          <w:sz w:val="20"/>
        </w:rPr>
      </w:pPr>
      <w:r>
        <w:rPr>
          <w:rFonts w:ascii="Times New Roman" w:hAnsi="Times New Roman"/>
          <w:b/>
          <w:i/>
          <w:sz w:val="20"/>
        </w:rPr>
        <w:t xml:space="preserve">John S. Cook </w:t>
      </w:r>
      <w:r>
        <w:rPr>
          <w:rFonts w:ascii="Times New Roman" w:hAnsi="Times New Roman"/>
          <w:sz w:val="20"/>
        </w:rPr>
        <w:t xml:space="preserve">is currently serving as our Executive Vice President and Chief Commercial Officer. Mr. Cook joined Hornbeck in May 2002 as our Chief Information Officer and served in that role until August 2024. He was appointed Executive Vice President and Chief Commercial Officer in February 2013, and served as a Senior Vice President beginning in May 2008. Mr. Cook was initially designated an executive officer and appointed a Vice President of the Company in February 2006. Before joining Hornbeck, Mr. Cook held roles of increasing responsibility in the business consulting section of Arthur Andersen LLP from January 1992 to May 2002, ultimately serving as a Senior Manager. During his consulting career, he assisted numerous marine and energy service companies in various business process and information technology initiatives, including strategic planning and enterprise software implementations. Mr. Cook is an inactive certified public accountant in Louisiana and is a member of the American Institute of Certified Public Accountants and the Society of Louisiana Certified Public Accountants. </w:t>
      </w:r>
    </w:p>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left"/>
        <w:rPr>
          <w:rFonts w:ascii="Times New Roman" w:hAnsi="Times New Roman"/>
          <w:sz w:val="20"/>
        </w:rPr>
      </w:pPr>
      <w:r>
        <w:rPr>
          <w:rFonts w:ascii="Times New Roman" w:hAnsi="Times New Roman"/>
          <w:sz w:val="20"/>
        </w:rPr>
        <w:t xml:space="preserve">Mr. Todd M. Hornbeck, the Chairman of the Board, President and Chief Executive Officer of the Company, is the son of Mr. Larry Hornbeck, who serves as Hornbeck’s Chairman Emeritus and assisted in orchestrating the founding of the current Company.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are managed under the direction of our Board of Directors. Upon completion of this offering, our Board of Directors will initially consist of nine directors. Thereafter, our Board of Directors will have discretion to determine the size of the Board of Directors, subject to the terms of our amended and restated certificate of incorporation. Subject to certain exceptions, newly created director positions resulting from an increase in size of the Board of Directors and vacancies may be filled by our Board of Directors. See “Description of Capital Stock and Warrants—Size of the Board of Directors and Vacancies.”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will provide that following the completion of this offering, the principal stockholders managed or advised by Ares or its affiliates (the “Ares principal stockholders”) will have the right to nominate to our Board of Directors (i) two nominees for so long as the 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principal stockholders beneficially own 20% or greater of our Fully Diluted Securities and (ii) one nominee for so long as the Ares principal stockholders beneficially own at least (i) prior to the first anniversary of the consummation of this offering, 5% of our Fully Diluted Securities and (ii) thereafter, 10% of our Fully Diluted Securities ((i) and (ii), as applicable, the “Minimum Threshold”), but less than 20% of our Fully Diluted Securities. Aaron Rosen and James McConeghy will be the initial director nominees of the Ares principal stockholders. The principal stockholders managed or advised by Highbridge or its affiliates (the “Highbridge principal stockholders”) will have the right to nominate to our Board of Directors one nominee for so long as the Highbridge principal stockholders beneficially own at least the Minimum Threshold of our Fully Diluted Securities. Sylvia Jo Sydow Kerrigan will be the initial director nominee of the Highbridge principal stockholders. The principal stockholders managed or advised by Whitebox or its affiliates (the “Whitebox principal stockholders”) will have the right to nominate to our board of directors one nominee for so long as the Whitebox principal stockholders beneficially own at least the Minimum Threshold of our Fully Diluted Securities. Jacob Mercer will be the initial director nominee of the Whitebox principal stockholders. See “Description of Capital Stock and Warrants—Director Nomination Rights.” </w:t>
      </w:r>
    </w:p>
    <w:p>
      <w:pPr>
        <w:pStyle w:val="TextBody"/>
        <w:bidi w:val="0"/>
        <w:spacing w:before="240" w:after="0"/>
        <w:jc w:val="left"/>
        <w:rPr>
          <w:rFonts w:ascii="Times New Roman" w:hAnsi="Times New Roman"/>
          <w:sz w:val="20"/>
        </w:rPr>
      </w:pPr>
      <w:r>
        <w:rPr>
          <w:rFonts w:ascii="Times New Roman" w:hAnsi="Times New Roman"/>
          <w:sz w:val="20"/>
        </w:rPr>
        <w:t xml:space="preserve">At all times, the composition of our Board of Directors will remain compliant with NYSE rules and the Jones Act. Such compliance includes, among other things, a requirement that no more than a minority of the number of directors necessary to constitute a quorum of the Board of Directors (or any committee thereof) be non-U.S. citizens.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corporate governance standards of the NYSE, a director employed by us cannot be deemed an “independent director,” and each other director will qualify as “independent” only if our Board of Directors 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 affiliations, our Board of Directors has affirmatively determined that each of Kurt M. Cellar, Evan Behrens, James McConeghy, Sylvia Jo Sydow Kerrigan, Bobby Jindal, Jacob Mercer, L. Don Miller and Aaron Rosen are independent in accordance with the NYSE rules. </w:t>
      </w:r>
    </w:p>
    <w:p>
      <w:pPr>
        <w:pStyle w:val="TextBody"/>
        <w:bidi w:val="0"/>
        <w:spacing w:before="360" w:after="0"/>
        <w:jc w:val="left"/>
        <w:rPr>
          <w:rFonts w:ascii="Times New Roman" w:hAnsi="Times New Roman"/>
          <w:b/>
          <w:sz w:val="20"/>
        </w:rPr>
      </w:pPr>
      <w:r>
        <w:rPr>
          <w:rFonts w:ascii="Times New Roman" w:hAnsi="Times New Roman"/>
          <w:b/>
          <w:sz w:val="20"/>
        </w:rPr>
        <w:t xml:space="preserve">Lead Independent Director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shall have a Lead Independent Director and, upon the completion of this offering, we expect that Kurt M. Cellar will continue to serve as the Lead Independent Director of our Board of Directors. Upon the completion of this offering, our Board of Directors will have adopted a written charter for the office of the Lead Independent Director which will take effect upon the completion of this offering. This charter will be posted on our website upon the completion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Securityholders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this offering, we will amend and restate our existing securityholders agreement (the “A&amp;R Securityholders Agreement”). Pursuant to the A&amp;R Securityholders Agreement, the Company will agree to take all necessary action (subject to applicable law) to cause the election of each director designated by the principal stockholders managed or advised by Ares, Highbridge or Whitebox or their respective affiliates in their capacities as Appointing Persons in accordance with the terms of our amended and restated certificate of incorporation. The A&amp;R Securityholders’ Agreement will also provide that the Company will agree to take all necessary action (subject to applicable law) to cause any vacancies created by death, resignation, removal, retirement or disqualification of a director designated by an Appointing Person to be filled by such Appointing Person in accordance with the terms of our amended and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Board of Directors will have three standing committees: an audit committee, a compensation committee and a nominating, corporate governance and sustainability committee. The composition and responsibilities of each committee following this offering are described below. Members serve on these committees until their resignation or until otherwise determined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For each committee below, the rules of the SEC and the exchange upon which we list our shares require us to have one independent committee member upon the listing of our common stock, a majority of independent committee members within 90 days of the effective date of the registration statement and all independent audit committee members within one year of the effective date of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for so long as any of the principal stockholders own at least the Minimum Threshold of our Fully Diluted Securities, each such principal stockholder will have the right to designate one member of each of the compensation committee and the nominating, corporate governance and sustainability committees of the Board of Directors. The chairperson and any additional committee members shall be determined by the Board of Directors and comply with the independence requirements of the NYSE and the SEC, as applicable, as well as the citizenship requirements of the Jones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audit committee will consist of Kurt M. Cellar, Evan Behrens and L. Don Miller, with Mr. Cellar serving as chair. Our Board of Directors has determined that Kurt M. Cellar, Evan Behrens and L. Don Miller each satisfy the independence requirements for audit committee members under the listing standards of the NYSE and Rule 10A-3 of the Exchange Act. Mr. Miller has been determined to be an audit committee “financial expert” as defined under SEC rules. All members of the audit committee are able to read and understand fundamental financial statements, are familiar with finance and accounting practices and principles and are financially literate. Our audit committee will be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and hiring our independent auditors, and approving the audit and non-audit services to be performed by our independent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the Board of Directors in evaluating the qualifications, performance and independence of our independent auditors;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the Board of Directors in monitoring the quality and integrity of our financial statements and our accounting and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our internal control over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our independent auditors our annual and quarterly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preparing the audit committee report that the SEC requires in our annual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related-party transactions.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our Board of Directors will have adopted a written charter for the audit committee which will take effect upon the completion of this offering and which satisfies the applicable rules of the SEC and the listing standards of the NYSE, including with respect to the review of related party transactions. This charter will be posted on our website upon the completion of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our compensation committee will consist of Bobby Jindal, James McConeghy and Sylvia Jo Sydow Kerrigan, with Mr. Jindal serving as chair. The compensation committee will be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the Board of Directors with respect to, the compensation of our other executive officers, including annual base salary, bonus, equity-based incentives and other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of Directors with respect to the compensation of our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making recommendations with respect to our equity compensation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our Board of Directors will have adopted a written charter for the compensation committee which will take effect upon the completion of this offering and which satisfies the applicable rules of the SEC and the listing standards of the NYSE. This charter will be posted on our website upon the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Corporate Governance and Sustainability Committee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we expect our nominating, corporate governance and sustainability committee will consist of     , Sylvia Jo Sydow Kerrigan and Evan Behrens, with      serving as chair. The nominating, corporate governance and sustainability committee is responsible for,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our Board of Directors in identifying prospective director nominees and recommending nominees to the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Board of Directors and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developments in corporate governance practices and developing and recommending a set of corporate governance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Company’s sustainability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recommending members for each committee of our Board of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the completion of this offering, our Board of Directors will have adopted a written charter for the nominating, corporate governance and sustainability committee which will take effect upon the completion of this offering and which satisfies the applicable rules of the SEC and the listing standards of the NYSE. This charter will be posted on our website upon the completion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Codes of Conduct </w:t>
      </w:r>
    </w:p>
    <w:p>
      <w:pPr>
        <w:pStyle w:val="TextBody"/>
        <w:bidi w:val="0"/>
        <w:spacing w:before="120" w:after="0"/>
        <w:jc w:val="left"/>
        <w:rPr>
          <w:rFonts w:ascii="Times New Roman" w:hAnsi="Times New Roman"/>
          <w:sz w:val="20"/>
        </w:rPr>
      </w:pPr>
      <w:r>
        <w:rPr>
          <w:rFonts w:ascii="Times New Roman" w:hAnsi="Times New Roman"/>
          <w:sz w:val="20"/>
        </w:rPr>
        <w:t xml:space="preserve">We have a Code of Conduct that applies to all of our officers and employees, including our principal executive officer, principal financial officer and principal accounting officer, and a Code of Business Conduct and Ethics for members of our Board of Directors, which are posted on our Internet website on the “Governance Highlights” page accessible through the “Investors” tab. Our Code of Conduct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ethics on our website.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this offering, our Board of Directors will have established corporate governance guidelines in accordance with the corporate governance rules of the NYSE, which will be posted on our Internet website on the “Governance Highlights” page accessible through the “Investors” tab. The information contained on, or accessible from, our website is not part of this prospectus by reference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These corporate governance guidelines will include the definition of independence used by the Company to determine whether our directors and nominees for directors are independent, which are the same qualifications prescribed under the NYSE Listing Standards. Pursuant to these corporate governance guidelines, our non-management directors will be required to meet in separate sessions without management on a regularly scheduled basis, but no less than four times a year. Generally, these meetings may occur as an executive session without the management director in attendance in conjunction with regularly scheduled meetings of our Board of Directors throughout the year. If the non-management directors include directors that are not independent directors (as determined by our Board of Directors), the independent directors will be required to meet in at least one separate session annually that includes only the independent directors. Because the Chairman of the Board is also a member of management, the non-management directors’ and independent directors’ separate sessions will be presided over by the Lead Independent Director or, in his absence, by an independent director designated by the Lead Independent Director or elected by a majority of the independent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rom66194_11"/>
      <w:bookmarkEnd w:id="13"/>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this compensation discussion and analysis section is to provide information about the material elements of compensation that are paid, awarded to or earned by our “named executive officers,” who consist of our principal executive officer, principal financial officer and three other most highly compensated executive officers, for the fiscal year ended December 31, 2025 (“Fiscal 2025”). For Fiscal 2025, our named executive officers (“NEOs”)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Todd M. Hornbeck, Chairman of the Board,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James O. Harp, Jr., Executive Vice President and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Samuel A. Giberga, Executive Vice President, General Counsel and Corporate Secretary;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John S. Cook, Executive Vice President and Chief Commercial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Carl G. Annessa, Executive Vice President—Military, Engineering, Repair &amp; Maintenance.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our compensation committee and our Board of Directors will review and approve the compensation of our NEOs and oversee and administer our executive compensation programs and initiatives. As we return to being a public company, we expect that the components and underlying driving factors of our executive compensation programs will continue to evolve. Accordingly, the compensation paid to our NEOs for Fiscal 2025 is not necessarily indicative of how we will compensate our NEOs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programs reflect our entrepreneurial and innovative culture and philosophy. Executives, including our NEOs, are (i) hired to devise and execute strategies that create long-term stockholder value consistent with our mission statement and core values and (ii) appropriately rewarded for doing so. </w:t>
      </w:r>
    </w:p>
    <w:p>
      <w:pPr>
        <w:pStyle w:val="TextBody"/>
        <w:bidi w:val="0"/>
        <w:spacing w:before="240" w:after="0"/>
        <w:jc w:val="left"/>
        <w:rPr>
          <w:rFonts w:ascii="Times New Roman" w:hAnsi="Times New Roman"/>
          <w:sz w:val="20"/>
        </w:rPr>
      </w:pPr>
      <w:r>
        <w:rPr>
          <w:rFonts w:ascii="Times New Roman" w:hAnsi="Times New Roman"/>
          <w:sz w:val="20"/>
        </w:rPr>
        <w:t xml:space="preserve">The objectives of our executive compensation programs are to (i) attract and retain executives who possess abilities essential to the Company’s long-term competitiveness and success, (ii) support a performance-oriented environment and (iii) create a culture of ownership, allowing executives to share meaningfully with stockholders in the long-term enhancement of stockholder value. Our compensation program for executive officers rewards the following attributes: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Financial Performance</w:t>
            </w:r>
            <w:r>
              <w:rPr>
                <w:rFonts w:ascii="Times New Roman" w:hAnsi="Times New Roman"/>
                <w:sz w:val="20"/>
              </w:rPr>
              <w:t xml:space="preserve">. We reward decision-making that is designed to achieve operating results that increase stockholder value over the long-term and that compare favorably to the operating results of our peers.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Excellence</w:t>
            </w:r>
            <w:r>
              <w:rPr>
                <w:rFonts w:ascii="Times New Roman" w:hAnsi="Times New Roman"/>
                <w:sz w:val="20"/>
              </w:rPr>
              <w:t xml:space="preserve">. We expect our executive officers to discharge their duties with excellence, professionalism and a high level of enthusiasm, integrity, diligence, analytical rigor, business acumen and attention to detail.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Leadership</w:t>
            </w:r>
            <w:r>
              <w:rPr>
                <w:rFonts w:ascii="Times New Roman" w:hAnsi="Times New Roman"/>
                <w:sz w:val="20"/>
              </w:rPr>
              <w:t xml:space="preserve">. Executives of the Company are expected to demonstrate leadership consistent with our core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i/>
                <w:sz w:val="20"/>
              </w:rPr>
              <w:t>Teamwork</w:t>
            </w:r>
            <w:r>
              <w:rPr>
                <w:rFonts w:ascii="Times New Roman" w:hAnsi="Times New Roman"/>
                <w:sz w:val="20"/>
              </w:rPr>
              <w:t xml:space="preserve">. Executives are evaluated as members of a team, not merely as individuals.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i/>
                <w:sz w:val="20"/>
              </w:rPr>
              <w:t>Forward-Looking Focus</w:t>
            </w:r>
            <w:r>
              <w:rPr>
                <w:rFonts w:ascii="Times New Roman" w:hAnsi="Times New Roman"/>
                <w:sz w:val="20"/>
              </w:rPr>
              <w:t xml:space="preserve">. We believe executives need to focus not only on our short-term performance, but also on our long-term future. Accordingly, we compensate our executives in a manner that incentivizes them to manage our business in a way that enables us to meet our long-range objectives, as well as our short-term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Loyalty</w:t>
            </w:r>
            <w:r>
              <w:rPr>
                <w:rFonts w:ascii="Times New Roman" w:hAnsi="Times New Roman"/>
                <w:sz w:val="20"/>
              </w:rPr>
              <w:t xml:space="preserve">. We promote a culture of ownership throughout the Company and reward employees, including our NEOs, who remain dedicated to the Company over the long-term with equity ownership opportunities, as well as other forms of long-term and incentive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i/>
                <w:sz w:val="20"/>
              </w:rPr>
              <w:t>Prudent Operating Practices</w:t>
            </w:r>
            <w:r>
              <w:rPr>
                <w:rFonts w:ascii="Times New Roman" w:hAnsi="Times New Roman"/>
                <w:sz w:val="20"/>
              </w:rPr>
              <w:t xml:space="preserve">. The Company expects executive decision-making that promotes safe, effective, compliant and prudent work practices.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the factors above, we consider other factors in establishing compensation, such as our financial condition and available resources and the competition for the services of our executives, each as of the time of the applicable compensation decision. We consider the competitive market for corresponding positions within comparable geographic areas and companies of similar size, strategic complexity and stage of development operating in our industry or in other industries that are relevant to us.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compensation committee considers Company information, historical compensation information about each executive officer and data derived from market sources, including data regarding peer companies and current industry conditions, as points of reference for the appropriate mix of compensation elements. </w:t>
      </w:r>
    </w:p>
    <w:p>
      <w:pPr>
        <w:pStyle w:val="TextBody"/>
        <w:bidi w:val="0"/>
        <w:spacing w:before="240" w:after="0"/>
        <w:jc w:val="left"/>
        <w:rPr>
          <w:rFonts w:ascii="Times New Roman" w:hAnsi="Times New Roman"/>
          <w:sz w:val="20"/>
        </w:rPr>
      </w:pPr>
      <w:r>
        <w:rPr>
          <w:rFonts w:ascii="Times New Roman" w:hAnsi="Times New Roman"/>
          <w:i/>
          <w:sz w:val="20"/>
        </w:rPr>
        <w:t xml:space="preserve">The Role of the Compensation Committee. </w:t>
      </w:r>
      <w:r>
        <w:rPr>
          <w:rFonts w:ascii="Times New Roman" w:hAnsi="Times New Roman"/>
          <w:sz w:val="20"/>
        </w:rPr>
        <w:t xml:space="preserve">Our compensation committee is comprised solely of directors who (i) meet the independence requirements of Section 303A of the NYSE Listed Company Manual, the provisions of Section 952 of the Dodd-Frank Act and any rules or regulations promulgated thereunder and (ii) qualify as “Non-Employee Directors” under Rule 16b-3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is responsible for (i) establishing and administering an overall compensation program for our executive officers and approving all compensation for our executive officers, (ii) establishing and administering the Company’s policies governing annual cash compensation and equity incentive awards for employees other than our executive officers and (iii) ensuring that the administration of the Company’s incentive compensation and certain employee benefit plans is delegated appropriately in accordance with the applicable governing documents. The compensation committee meets multiple times each year to analyze and discuss the Company’s compensation plans, proposals and other compensation-related issues. From time to time, it also engages in informal sessions with and without executive management. These sessions usually coincide with the Company’s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our executive officers, including the establishment of base salaries, determination of any potential cash incentive compensation targets and participation levels of each NEO and approval of long-term incentive awards under the Company’s 2020 Management Incentive Plan. The compensation awards approved by the committee are part of the annual budget approved by the Board of Directors, which is typically approved at the same time. When appropriate, the compensation committee recommends compensation or benefit policies or plans (or amendments to existing policies or plans) and amendments to employment agreements with our executive officers to the full Board of Directors.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 </w:t>
      </w:r>
    </w:p>
    <w:p>
      <w:pPr>
        <w:pStyle w:val="TextBody"/>
        <w:bidi w:val="0"/>
        <w:spacing w:before="240" w:after="0"/>
        <w:jc w:val="left"/>
        <w:rPr>
          <w:rFonts w:ascii="Times New Roman" w:hAnsi="Times New Roman"/>
          <w:sz w:val="20"/>
        </w:rPr>
      </w:pPr>
      <w:r>
        <w:rPr>
          <w:rFonts w:ascii="Times New Roman" w:hAnsi="Times New Roman"/>
          <w:i/>
          <w:sz w:val="20"/>
        </w:rPr>
        <w:t xml:space="preserve">Compensation Consultant. </w:t>
      </w:r>
      <w:r>
        <w:rPr>
          <w:rFonts w:ascii="Times New Roman" w:hAnsi="Times New Roman"/>
          <w:sz w:val="20"/>
        </w:rPr>
        <w:t xml:space="preserve">The compensation committee engaged Frederic W. Cook &amp; Co., Inc. (“FW Cook”) to review and make recommendations concerning compensation for Fiscal 2025. As part of their review, FW Cook provided advice on the compensation strategy and program design, compared the Company’s compensation programs with those of other companies and reviewed and recommended an updated peer group. The compensation committee may choose to retain outside compensation consultants to review compensation issues again in the future. </w:t>
      </w:r>
    </w:p>
    <w:p>
      <w:pPr>
        <w:pStyle w:val="TextBody"/>
        <w:bidi w:val="0"/>
        <w:spacing w:before="240" w:after="0"/>
        <w:jc w:val="left"/>
        <w:rPr>
          <w:rFonts w:ascii="Times New Roman" w:hAnsi="Times New Roman"/>
          <w:sz w:val="20"/>
        </w:rPr>
      </w:pPr>
      <w:r>
        <w:rPr>
          <w:rFonts w:ascii="Times New Roman" w:hAnsi="Times New Roman"/>
          <w:i/>
          <w:sz w:val="20"/>
        </w:rPr>
        <w:t xml:space="preserve">Benchmarks. </w:t>
      </w:r>
      <w:r>
        <w:rPr>
          <w:rFonts w:ascii="Times New Roman" w:hAnsi="Times New Roman"/>
          <w:sz w:val="20"/>
        </w:rPr>
        <w:t xml:space="preserve">We compete with other companies for executive talent. In doing so, we consider prevailing executive compensation trends in order to establish whether our compensation is appropriate, competitive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in-line with our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the Company so as to provide a source of meaningful comparison, or our Industry Peer Group; (ii) public filings of publicly traded marine service companies that are our direct competitors; and (iii) published survey information for the energy industry, as well as the broader commercial industry, when appropriate. Our competitive market is not comprised strictly of vessel owners, because the competition we face for certain executive talent is not limited to marine companies, and we believe that the number of such companies represents too small of a sample size for a reasonable comparison. Generally, the compensation committee considers how the compensation of our executives compares with the individual elements of, as well as the total direct compensation of, the NEOs of the groups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At the compensation committee’s request, FW Cook identified and selected a peer group that was representative of the competitive compensation landscape and the marketplace for executive talent. The Industry Peer Group was used to benchmark executive compensation for Fiscal 2025. The companies that are included in the Company’s public company Industry Peer Group consist of the following: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Industry Peer Group Used to Benchmark 2025 Executive Compensation </w:t>
      </w:r>
    </w:p>
    <w:p>
      <w:pPr>
        <w:pStyle w:val="TextBody"/>
        <w:bidi w:val="0"/>
        <w:spacing w:before="240" w:after="0"/>
        <w:jc w:val="center"/>
        <w:rPr>
          <w:rFonts w:ascii="Times New Roman" w:hAnsi="Times New Roman"/>
          <w:sz w:val="20"/>
        </w:rPr>
      </w:pPr>
      <w:r>
        <w:rPr>
          <w:rFonts w:ascii="Times New Roman" w:hAnsi="Times New Roman"/>
          <w:sz w:val="20"/>
        </w:rPr>
        <w:t xml:space="preserve">Bristow Group Inc. (VTOL) </w:t>
      </w:r>
    </w:p>
    <w:p>
      <w:pPr>
        <w:pStyle w:val="TextBody"/>
        <w:bidi w:val="0"/>
        <w:spacing w:before="0" w:after="0"/>
        <w:jc w:val="center"/>
        <w:rPr>
          <w:rFonts w:ascii="Times New Roman" w:hAnsi="Times New Roman"/>
          <w:sz w:val="20"/>
        </w:rPr>
      </w:pPr>
      <w:r>
        <w:rPr>
          <w:rFonts w:ascii="Times New Roman" w:hAnsi="Times New Roman"/>
          <w:sz w:val="20"/>
        </w:rPr>
        <w:t xml:space="preserve">Cactus, Inc. (WHD) </w:t>
      </w:r>
    </w:p>
    <w:p>
      <w:pPr>
        <w:pStyle w:val="TextBody"/>
        <w:bidi w:val="0"/>
        <w:spacing w:before="0" w:after="0"/>
        <w:jc w:val="center"/>
        <w:rPr>
          <w:rFonts w:ascii="Times New Roman" w:hAnsi="Times New Roman"/>
          <w:sz w:val="20"/>
        </w:rPr>
      </w:pPr>
      <w:r>
        <w:rPr>
          <w:rFonts w:ascii="Times New Roman" w:hAnsi="Times New Roman"/>
          <w:sz w:val="20"/>
        </w:rPr>
        <w:t xml:space="preserve">Diamond Offshore Drilling, Inc. (DO) </w:t>
      </w:r>
    </w:p>
    <w:p>
      <w:pPr>
        <w:pStyle w:val="TextBody"/>
        <w:bidi w:val="0"/>
        <w:spacing w:before="0" w:after="0"/>
        <w:jc w:val="center"/>
        <w:rPr>
          <w:rFonts w:ascii="Times New Roman" w:hAnsi="Times New Roman"/>
          <w:sz w:val="20"/>
        </w:rPr>
      </w:pPr>
      <w:r>
        <w:rPr>
          <w:rFonts w:ascii="Times New Roman" w:hAnsi="Times New Roman"/>
          <w:sz w:val="20"/>
        </w:rPr>
        <w:t xml:space="preserve">Dril-Quip, Inc. (DRQ) </w:t>
      </w:r>
    </w:p>
    <w:p>
      <w:pPr>
        <w:pStyle w:val="TextBody"/>
        <w:bidi w:val="0"/>
        <w:spacing w:before="0" w:after="0"/>
        <w:jc w:val="center"/>
        <w:rPr>
          <w:rFonts w:ascii="Times New Roman" w:hAnsi="Times New Roman"/>
          <w:sz w:val="20"/>
        </w:rPr>
      </w:pPr>
      <w:r>
        <w:rPr>
          <w:rFonts w:ascii="Times New Roman" w:hAnsi="Times New Roman"/>
          <w:sz w:val="20"/>
        </w:rPr>
        <w:t xml:space="preserve">Great Lakes Dredge &amp; Dock Corporation (GLDD) </w:t>
      </w:r>
    </w:p>
    <w:p>
      <w:pPr>
        <w:pStyle w:val="TextBody"/>
        <w:bidi w:val="0"/>
        <w:spacing w:before="0" w:after="0"/>
        <w:jc w:val="center"/>
        <w:rPr>
          <w:rFonts w:ascii="Times New Roman" w:hAnsi="Times New Roman"/>
          <w:sz w:val="20"/>
        </w:rPr>
      </w:pPr>
      <w:r>
        <w:rPr>
          <w:rFonts w:ascii="Times New Roman" w:hAnsi="Times New Roman"/>
          <w:sz w:val="20"/>
        </w:rPr>
        <w:t xml:space="preserve">Helix Energy Solutions Group, Inc. (HLX) </w:t>
      </w:r>
    </w:p>
    <w:p>
      <w:pPr>
        <w:pStyle w:val="TextBody"/>
        <w:bidi w:val="0"/>
        <w:spacing w:before="0" w:after="0"/>
        <w:jc w:val="center"/>
        <w:rPr>
          <w:rFonts w:ascii="Times New Roman" w:hAnsi="Times New Roman"/>
          <w:sz w:val="20"/>
        </w:rPr>
      </w:pPr>
      <w:r>
        <w:rPr>
          <w:rFonts w:ascii="Times New Roman" w:hAnsi="Times New Roman"/>
          <w:sz w:val="20"/>
        </w:rPr>
        <w:t xml:space="preserve">Kirby Corporation (KEX) </w:t>
      </w:r>
    </w:p>
    <w:p>
      <w:pPr>
        <w:pStyle w:val="TextBody"/>
        <w:bidi w:val="0"/>
        <w:spacing w:before="0" w:after="0"/>
        <w:jc w:val="center"/>
        <w:rPr>
          <w:rFonts w:ascii="Times New Roman" w:hAnsi="Times New Roman"/>
          <w:sz w:val="20"/>
        </w:rPr>
      </w:pPr>
      <w:r>
        <w:rPr>
          <w:rFonts w:ascii="Times New Roman" w:hAnsi="Times New Roman"/>
          <w:sz w:val="20"/>
        </w:rPr>
        <w:t xml:space="preserve">Newpark Resources, Inc. (NR) </w:t>
      </w:r>
    </w:p>
    <w:p>
      <w:pPr>
        <w:pStyle w:val="TextBody"/>
        <w:bidi w:val="0"/>
        <w:spacing w:before="0" w:after="0"/>
        <w:jc w:val="center"/>
        <w:rPr>
          <w:rFonts w:ascii="Times New Roman" w:hAnsi="Times New Roman"/>
          <w:sz w:val="20"/>
        </w:rPr>
      </w:pPr>
      <w:r>
        <w:rPr>
          <w:rFonts w:ascii="Times New Roman" w:hAnsi="Times New Roman"/>
          <w:sz w:val="20"/>
        </w:rPr>
        <w:t xml:space="preserve">Oceaneering International, Inc. (OII) </w:t>
      </w:r>
    </w:p>
    <w:p>
      <w:pPr>
        <w:pStyle w:val="TextBody"/>
        <w:bidi w:val="0"/>
        <w:spacing w:before="0" w:after="0"/>
        <w:jc w:val="center"/>
        <w:rPr>
          <w:rFonts w:ascii="Times New Roman" w:hAnsi="Times New Roman"/>
          <w:sz w:val="20"/>
        </w:rPr>
      </w:pPr>
      <w:r>
        <w:rPr>
          <w:rFonts w:ascii="Times New Roman" w:hAnsi="Times New Roman"/>
          <w:sz w:val="20"/>
        </w:rPr>
        <w:t xml:space="preserve">SEACOR Marine Holdings Inc. (SMHI) </w:t>
      </w:r>
    </w:p>
    <w:p>
      <w:pPr>
        <w:pStyle w:val="TextBody"/>
        <w:bidi w:val="0"/>
        <w:spacing w:before="0" w:after="0"/>
        <w:jc w:val="center"/>
        <w:rPr>
          <w:rFonts w:ascii="Times New Roman" w:hAnsi="Times New Roman"/>
          <w:sz w:val="20"/>
        </w:rPr>
      </w:pPr>
      <w:r>
        <w:rPr>
          <w:rFonts w:ascii="Times New Roman" w:hAnsi="Times New Roman"/>
          <w:sz w:val="20"/>
        </w:rPr>
        <w:t xml:space="preserve">TETRA Technologies, Inc. (TTI) </w:t>
      </w:r>
    </w:p>
    <w:p>
      <w:pPr>
        <w:pStyle w:val="TextBody"/>
        <w:bidi w:val="0"/>
        <w:spacing w:before="0" w:after="0"/>
        <w:jc w:val="center"/>
        <w:rPr>
          <w:rFonts w:ascii="Times New Roman" w:hAnsi="Times New Roman"/>
          <w:sz w:val="20"/>
        </w:rPr>
      </w:pPr>
      <w:r>
        <w:rPr>
          <w:rFonts w:ascii="Times New Roman" w:hAnsi="Times New Roman"/>
          <w:sz w:val="20"/>
        </w:rPr>
        <w:t xml:space="preserve">Tidewater Inc. (TDW) </w:t>
      </w:r>
    </w:p>
    <w:p>
      <w:pPr>
        <w:pStyle w:val="TextBody"/>
        <w:bidi w:val="0"/>
        <w:spacing w:before="0" w:after="0"/>
        <w:jc w:val="center"/>
        <w:rPr>
          <w:rFonts w:ascii="Times New Roman" w:hAnsi="Times New Roman"/>
          <w:sz w:val="20"/>
        </w:rPr>
      </w:pPr>
      <w:r>
        <w:rPr>
          <w:rFonts w:ascii="Times New Roman" w:hAnsi="Times New Roman"/>
          <w:sz w:val="20"/>
        </w:rPr>
        <w:t xml:space="preserve">Valaris Limited (VAL) </w:t>
      </w:r>
    </w:p>
    <w:p>
      <w:pPr>
        <w:pStyle w:val="TextBody"/>
        <w:bidi w:val="0"/>
        <w:spacing w:before="240" w:after="0"/>
        <w:jc w:val="left"/>
        <w:rPr>
          <w:rFonts w:ascii="Times New Roman" w:hAnsi="Times New Roman"/>
          <w:sz w:val="20"/>
        </w:rPr>
      </w:pPr>
      <w:r>
        <w:rPr>
          <w:rFonts w:ascii="Times New Roman" w:hAnsi="Times New Roman"/>
          <w:i/>
          <w:sz w:val="20"/>
        </w:rPr>
        <w:t xml:space="preserve">Role of Executive Management in the Compensation Process. </w:t>
      </w:r>
      <w:r>
        <w:rPr>
          <w:rFonts w:ascii="Times New Roman" w:hAnsi="Times New Roman"/>
          <w:sz w:val="20"/>
        </w:rPr>
        <w:t xml:space="preserve">The compensation committee works with executive management with respect to the practical aspects of the design and execution of our executive compensation programs. Because our executive officers’ cash compensation is derived, in part, from the Company’s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NEOs. </w:t>
      </w:r>
    </w:p>
    <w:p>
      <w:pPr>
        <w:pStyle w:val="TextBody"/>
        <w:bidi w:val="0"/>
        <w:spacing w:before="240" w:after="0"/>
        <w:jc w:val="left"/>
        <w:rPr>
          <w:rFonts w:ascii="Times New Roman" w:hAnsi="Times New Roman"/>
          <w:sz w:val="20"/>
        </w:rPr>
      </w:pPr>
      <w:r>
        <w:rPr>
          <w:rFonts w:ascii="Times New Roman" w:hAnsi="Times New Roman"/>
          <w:i/>
          <w:sz w:val="20"/>
        </w:rPr>
        <w:t xml:space="preserve">Incentive Cash Compensation Metrics. </w:t>
      </w:r>
      <w:r>
        <w:rPr>
          <w:rFonts w:ascii="Times New Roman" w:hAnsi="Times New Roman"/>
          <w:sz w:val="20"/>
        </w:rPr>
        <w:t xml:space="preserve">The Company’s performance measures for incentive cash compensation generally consist of Adjusted EBITDA, relative safety performance and a discretionary component tied to the Company’s achievement of certain strategic objectives set by management and the Board of Directors. Adjusted EBITDA has historically been our most heavily weighted objective component because of the prominence that Adjusted EBITDA has in several facets of the Company’s operations. For instance, we disclose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discuss Adjusted EBITDA as a non-GAAP financial measure in our quarterly reports and conference calls with our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our Adjusted EBITDA to that of the potential acquisition target; and (iii) to assess our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our compensation analysis and/or are unpredictable for budgeting purposes. In setting the Adjusted EBITDA target used as a component of our cash incentive compensation, the compensation committee historically set the Adjusted EBITDA target based on expected performance for the year considering industry conditions, competitor performance and expectations of the Board of Directors. This approach historically resulted in Adjusted EBITDA targets that were designed to incentivize management to perform at demanding levels. The Company has not historically changed the Adjusted EBITDA target for cash incentive compensation for a given year, other than, on occasion, to adjust for significant acquisitions, dispositions or financings that had occurred after, and were unanticipated at the time when, the Adjusted EBITDA target was originally set. </w:t>
      </w:r>
    </w:p>
    <w:p>
      <w:pPr>
        <w:pStyle w:val="TextBody"/>
        <w:bidi w:val="0"/>
        <w:spacing w:before="240" w:after="0"/>
        <w:jc w:val="left"/>
        <w:rPr>
          <w:rFonts w:ascii="Times New Roman" w:hAnsi="Times New Roman"/>
          <w:sz w:val="20"/>
        </w:rPr>
      </w:pPr>
      <w:r>
        <w:rPr>
          <w:rFonts w:ascii="Times New Roman" w:hAnsi="Times New Roman"/>
          <w:sz w:val="20"/>
        </w:rPr>
        <w:t xml:space="preserve">The safety component is evaluated by comparing the total recordable incident rate (also known as “TRIR”) with various industry benchmarks and our own prior safety performance. When selecting service providers, we know that our customers make decisions based on the safety performance of the provider. Therefore, we believe that by using a safety component in our objective performance measures, we will not only reinforce the culture of safety within our Company, which benefits our employees, but also should optimize revenue and improve our long-term performance sustainability.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these metrics incentivize management to strive for operating results that increase stockholder value, while reaffirming our commitment to operating our business at the highest levels of safety and with the utmost care and protection of the environment. </w:t>
      </w:r>
    </w:p>
    <w:p>
      <w:pPr>
        <w:pStyle w:val="TextBody"/>
        <w:bidi w:val="0"/>
        <w:spacing w:before="360" w:after="0"/>
        <w:jc w:val="left"/>
        <w:rPr>
          <w:rFonts w:ascii="Times New Roman" w:hAnsi="Times New Roman"/>
          <w:b/>
          <w:sz w:val="20"/>
        </w:rPr>
      </w:pPr>
      <w:r>
        <w:rPr>
          <w:rFonts w:ascii="Times New Roman" w:hAnsi="Times New Roman"/>
          <w:b/>
          <w:sz w:val="20"/>
        </w:rPr>
        <w:t xml:space="preserve">Elements of Compensation </w:t>
      </w:r>
    </w:p>
    <w:p>
      <w:pPr>
        <w:pStyle w:val="TextBody"/>
        <w:bidi w:val="0"/>
        <w:spacing w:before="120" w:after="0"/>
        <w:jc w:val="left"/>
        <w:rPr>
          <w:rFonts w:ascii="Times New Roman" w:hAnsi="Times New Roman"/>
          <w:sz w:val="20"/>
        </w:rPr>
      </w:pPr>
      <w:r>
        <w:rPr>
          <w:rFonts w:ascii="Times New Roman" w:hAnsi="Times New Roman"/>
          <w:sz w:val="20"/>
        </w:rPr>
        <w:t xml:space="preserve">Our current executive compensation program, which was set by our compensation committee, consists of the following components: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 cash incentive awards linked to our overall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periodic grants of long-term equity-based compensation, such as time- or performance-based restricted stock units or options, or long-term cash incentive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executive benefits and perquisites;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employment agreements, which contain termination and change of control benefits.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combine these elements in order to formulate compensation packages that provide competitive pay, reward the achievement of financial, operational and strategic objectives and align the interests of our executive officers and other senior personnel with those of our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Pay Mix </w:t>
      </w:r>
    </w:p>
    <w:p>
      <w:pPr>
        <w:pStyle w:val="TextBody"/>
        <w:bidi w:val="0"/>
        <w:spacing w:before="120" w:after="0"/>
        <w:jc w:val="left"/>
        <w:rPr>
          <w:rFonts w:ascii="Times New Roman" w:hAnsi="Times New Roman"/>
          <w:sz w:val="20"/>
        </w:rPr>
      </w:pPr>
      <w:r>
        <w:rPr>
          <w:rFonts w:ascii="Times New Roman" w:hAnsi="Times New Roman"/>
          <w:sz w:val="20"/>
        </w:rPr>
        <w:t xml:space="preserve">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Our compensation philosophy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we have focused on structuring overall compensation packages that serve the goals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We pay a base salary to each of our executive officers in order to compensate them for their day-to-day services rendered to us over the course of each year. Each NEO’s base salary was contractually established pursuant to his Amended and Restated Employment Agreement, dated September 4, 2020 (each, an “EA”). Our compensation committee reviews base salaries annually, and each NEO’s may be increased, but not decreased (given the terms of each NEO’s EA), from the contracted amount. In performing its annual review, the compensation committee considers the scope of the NEO’s job responsibilities, the NEO’s unique skill sets and experience and individual contributions, market conditions, the NEO’s current compensation as compared to that provided by peer and competitor companies, including the Industry Peer Group, and the Company’s annual financial budget. In addition, the compensation committee considers the overall performance of the Company and the recommendations of the Chief Executive Officer concerning the compensation of the NEOs other than himself. Consistent with the recommendation of FW Cook, the NEOs’ base salaries continued to remain unchanged for Fiscal 2025.With respect to all of our NEOs (other than our Chief Executive Officer), our compensation committee determined to establish base salaries that are equal for each, given their shared level of seniority and experience, as well as the multiple roles each has played in the management of our business. This approach could change in the future. The equalized pay for our most senior executives also enhances our core values of teamwork. The base salaries paid to our NEOs in Fiscal 2025 are set forth in the Summary Compensation Table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Bonus </w:t>
      </w:r>
    </w:p>
    <w:p>
      <w:pPr>
        <w:pStyle w:val="TextBody"/>
        <w:bidi w:val="0"/>
        <w:spacing w:before="120" w:after="0"/>
        <w:jc w:val="left"/>
        <w:rPr>
          <w:rFonts w:ascii="Times New Roman" w:hAnsi="Times New Roman"/>
          <w:sz w:val="20"/>
        </w:rPr>
      </w:pPr>
      <w:r>
        <w:rPr>
          <w:rFonts w:ascii="Times New Roman" w:hAnsi="Times New Roman"/>
          <w:sz w:val="20"/>
        </w:rPr>
        <w:t xml:space="preserve">We utilize non-equity incentive compensation, also referred to herein as “cash incentive compensation,” in order to reward the achievement of specific results each year and the relative out-performance of our peers for the applicable measurement period. Each NEO’s EA provides for the payment of cash 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NEO’s EA also provides for a target cash incentive compensation opportunity for each fiscal year equal to 100% of the NEO’s annualized base salary for the fiscal year (the “Target Bonus”). Each NEO’s actual cash incentive compensation for the relevant fiscal year will equal a percentage of the Target Bonus, determined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 of the Target Bonus, if threshold levels of performance for that fiscal year are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Target Bonus, if target levels of performance for that fiscal year are achieved;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 of the Target Bonus, if maximum levels of performance for that fiscal year are achieved;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percentage of the Target Bonus determined in accordance with the plan established by the compensation committee, if achieved performance for the fiscal year is in between threshold, target and maximum levels of performance.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Fiscal 2025, the Company’s compensation program called for the award of cash incentive compensation based on relative achievement of three components: (i) Adjusted EBITDA (weighted 70%), (ii) TRIR (weighted 10%), and (iii) Strategic Plan (weighted 20%). The Strategic Plan component is based upon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year-end assessment of various qualitative and quantitative factors that it deems relevant, in its discretion, after considering management’s recommendation to determine progress made by the Company toward achieving objectives set forth in the Company’s Strategic Plan. The Strategic Component was weighted heavier in Fiscal 2025 than prior years in an effort to motivate management to focus even more on strategic milestones in instances where short-term financial metrics alone may not adequately capture the full scope of the NEOs contribution to the creation of long-term shareholder value. The compensation committee annually revisits whether to change the vesting criteria or otherwise adjust the weighting of the Adjusted EBITDA, TRIR, and discretionary Strategic Plan components. We refer to each of the Adjusted EBITDA, TRIR and discretionary Strategic Plan component weighting percentages herein as an “Applicable Percentage.” </w:t>
      </w:r>
    </w:p>
    <w:p>
      <w:pPr>
        <w:pStyle w:val="TextBody"/>
        <w:bidi w:val="0"/>
        <w:spacing w:before="240" w:after="0"/>
        <w:jc w:val="left"/>
        <w:rPr>
          <w:rFonts w:ascii="Times New Roman" w:hAnsi="Times New Roman"/>
          <w:sz w:val="20"/>
        </w:rPr>
      </w:pPr>
      <w:r>
        <w:rPr>
          <w:rFonts w:ascii="Times New Roman" w:hAnsi="Times New Roman"/>
          <w:sz w:val="20"/>
        </w:rPr>
        <w:t xml:space="preserve">The TRIR target uses annual industry safety benchmarks of the International Association of Drilling Contractors (“IADC”), ISOA and IMCA. Previously, we included the safety benchmark of OMSA; however, OMSA has discontinued publicizing its benchmark, so we no longer use OMSA as one of our safety benchmarks. Because the Company has usually outperformed these industry safety benchmarks and in an effort to place an even greater emphasis on the preservation of our executive team’s focus on efficient, safe and environmentally sound operations, the maximum safety level is set at 10% better than the average of the three-best annual TRIRs achieved by the Company in the most recent ten years. This results in a more difficult standard of TRIR necessary to achieve the maximum potential vesting for that factor.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for Fiscal 2025,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
        <w:gridCol w:w="64"/>
        <w:gridCol w:w="1147"/>
        <w:gridCol w:w="128"/>
        <w:gridCol w:w="1264"/>
        <w:gridCol w:w="64"/>
        <w:gridCol w:w="1283"/>
        <w:gridCol w:w="64"/>
        <w:gridCol w:w="1229"/>
        <w:gridCol w:w="63"/>
        <w:gridCol w:w="1283"/>
        <w:gridCol w:w="64"/>
        <w:gridCol w:w="1186"/>
        <w:gridCol w:w="60"/>
        <w:gridCol w:w="1363"/>
      </w:tblGrid>
      <w:tr>
        <w:trPr/>
        <w:tc>
          <w:tcPr>
            <w:tcW w:w="943"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94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Component</w:t>
            </w:r>
          </w:p>
        </w:tc>
        <w:tc>
          <w:tcPr>
            <w:tcW w:w="64" w:type="dxa"/>
            <w:tcBorders/>
            <w:vAlign w:val="bottom"/>
          </w:tcPr>
          <w:p>
            <w:pPr>
              <w:pStyle w:val="TableContents"/>
              <w:bidi w:val="0"/>
              <w:spacing w:before="0" w:after="283"/>
              <w:jc w:val="left"/>
              <w:rPr/>
            </w:pPr>
            <w:r>
              <w:rPr/>
              <w:t> </w:t>
            </w:r>
          </w:p>
        </w:tc>
        <w:tc>
          <w:tcPr>
            <w:tcW w:w="1147" w:type="dxa"/>
            <w:tcBorders>
              <w:bottom w:val="single" w:sz="8" w:space="0" w:color="000000"/>
            </w:tcBorders>
            <w:tcMar>
              <w:bottom w:w="28" w:type="dxa"/>
            </w:tcMar>
            <w:vAlign w:val="bottom"/>
          </w:tcPr>
          <w:p>
            <w:pPr>
              <w:pStyle w:val="TableContents"/>
              <w:bidi w:val="0"/>
              <w:spacing w:before="0" w:after="283"/>
              <w:jc w:val="center"/>
              <w:rPr>
                <w:b/>
              </w:rPr>
            </w:pPr>
            <w:r>
              <w:rPr>
                <w:b/>
              </w:rPr>
              <w:t>Applicable</w:t>
              <w:br/>
              <w:t>Percentage</w:t>
            </w:r>
          </w:p>
        </w:tc>
        <w:tc>
          <w:tcPr>
            <w:tcW w:w="128" w:type="dxa"/>
            <w:tcBorders/>
            <w:vAlign w:val="bottom"/>
          </w:tcPr>
          <w:p>
            <w:pPr>
              <w:pStyle w:val="TableContents"/>
              <w:bidi w:val="0"/>
              <w:spacing w:before="0" w:after="283"/>
              <w:jc w:val="left"/>
              <w:rPr/>
            </w:pPr>
            <w:r>
              <w:rPr/>
              <w:t>  </w:t>
            </w:r>
          </w:p>
        </w:tc>
        <w:tc>
          <w:tcPr>
            <w:tcW w:w="126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Threshold Goal</w:t>
              <w:br/>
              <w:t>(Payout of 50%</w:t>
              <w:br/>
              <w:t>of Base Salary)</w:t>
            </w:r>
          </w:p>
        </w:tc>
        <w:tc>
          <w:tcPr>
            <w:tcW w:w="64" w:type="dxa"/>
            <w:tcBorders/>
            <w:vAlign w:val="bottom"/>
          </w:tcPr>
          <w:p>
            <w:pPr>
              <w:pStyle w:val="TableContents"/>
              <w:bidi w:val="0"/>
              <w:spacing w:before="0" w:after="283"/>
              <w:jc w:val="left"/>
              <w:rPr/>
            </w:pPr>
            <w:r>
              <w:rPr/>
              <w:t> </w:t>
            </w:r>
          </w:p>
        </w:tc>
        <w:tc>
          <w:tcPr>
            <w:tcW w:w="1283" w:type="dxa"/>
            <w:tcBorders>
              <w:bottom w:val="single" w:sz="8" w:space="0" w:color="000000"/>
            </w:tcBorders>
            <w:tcMar>
              <w:bottom w:w="28" w:type="dxa"/>
            </w:tcMar>
            <w:vAlign w:val="bottom"/>
          </w:tcPr>
          <w:p>
            <w:pPr>
              <w:pStyle w:val="TableContents"/>
              <w:bidi w:val="0"/>
              <w:spacing w:before="0" w:after="283"/>
              <w:jc w:val="center"/>
              <w:rPr>
                <w:b/>
              </w:rPr>
            </w:pPr>
            <w:r>
              <w:rPr>
                <w:b/>
              </w:rPr>
              <w:t>Threshold</w:t>
              <w:br/>
              <w:t>Payout</w:t>
              <w:br/>
              <w:t>Attributable</w:t>
              <w:br/>
              <w:t>to</w:t>
              <w:br/>
              <w:t>Component</w:t>
            </w:r>
          </w:p>
        </w:tc>
        <w:tc>
          <w:tcPr>
            <w:tcW w:w="64" w:type="dxa"/>
            <w:tcBorders/>
            <w:vAlign w:val="bottom"/>
          </w:tcPr>
          <w:p>
            <w:pPr>
              <w:pStyle w:val="TableContents"/>
              <w:bidi w:val="0"/>
              <w:spacing w:before="0" w:after="283"/>
              <w:jc w:val="left"/>
              <w:rPr/>
            </w:pPr>
            <w:r>
              <w:rPr/>
              <w:t> </w:t>
            </w:r>
          </w:p>
        </w:tc>
        <w:tc>
          <w:tcPr>
            <w:tcW w:w="12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 Goal</w:t>
              <w:br/>
              <w:t>(Payout of 100%</w:t>
              <w:br/>
              <w:t>of Base Salary)</w:t>
            </w:r>
          </w:p>
        </w:tc>
        <w:tc>
          <w:tcPr>
            <w:tcW w:w="63" w:type="dxa"/>
            <w:tcBorders/>
            <w:vAlign w:val="bottom"/>
          </w:tcPr>
          <w:p>
            <w:pPr>
              <w:pStyle w:val="TableContents"/>
              <w:bidi w:val="0"/>
              <w:spacing w:before="0" w:after="283"/>
              <w:jc w:val="left"/>
              <w:rPr/>
            </w:pPr>
            <w:r>
              <w:rPr/>
              <w:t> </w:t>
            </w:r>
          </w:p>
        </w:tc>
        <w:tc>
          <w:tcPr>
            <w:tcW w:w="1283" w:type="dxa"/>
            <w:tcBorders>
              <w:bottom w:val="single" w:sz="8" w:space="0" w:color="000000"/>
            </w:tcBorders>
            <w:tcMar>
              <w:bottom w:w="28" w:type="dxa"/>
            </w:tcMar>
            <w:vAlign w:val="bottom"/>
          </w:tcPr>
          <w:p>
            <w:pPr>
              <w:pStyle w:val="TableContents"/>
              <w:bidi w:val="0"/>
              <w:spacing w:before="0" w:after="283"/>
              <w:jc w:val="center"/>
              <w:rPr>
                <w:b/>
              </w:rPr>
            </w:pPr>
            <w:r>
              <w:rPr>
                <w:b/>
              </w:rPr>
              <w:t>Target</w:t>
              <w:br/>
              <w:t>Payout</w:t>
              <w:br/>
              <w:t>Attributable</w:t>
              <w:br/>
              <w:t>to</w:t>
              <w:br/>
              <w:t>Component</w:t>
            </w:r>
          </w:p>
        </w:tc>
        <w:tc>
          <w:tcPr>
            <w:tcW w:w="64" w:type="dxa"/>
            <w:tcBorders/>
            <w:vAlign w:val="bottom"/>
          </w:tcPr>
          <w:p>
            <w:pPr>
              <w:pStyle w:val="TableContents"/>
              <w:bidi w:val="0"/>
              <w:spacing w:before="0" w:after="283"/>
              <w:jc w:val="left"/>
              <w:rPr/>
            </w:pPr>
            <w:r>
              <w:rPr/>
              <w:t> </w:t>
            </w:r>
          </w:p>
        </w:tc>
        <w:tc>
          <w:tcPr>
            <w:tcW w:w="11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Maximum Goal</w:t>
              <w:br/>
              <w:t>(Payout of</w:t>
              <w:br/>
              <w:t>200% of Base</w:t>
              <w:br/>
              <w:t>Salary)</w:t>
            </w:r>
          </w:p>
        </w:tc>
        <w:tc>
          <w:tcPr>
            <w:tcW w:w="60" w:type="dxa"/>
            <w:tcBorders/>
            <w:vAlign w:val="bottom"/>
          </w:tcPr>
          <w:p>
            <w:pPr>
              <w:pStyle w:val="TableContents"/>
              <w:bidi w:val="0"/>
              <w:spacing w:before="0" w:after="283"/>
              <w:jc w:val="left"/>
              <w:rPr/>
            </w:pPr>
            <w:r>
              <w:rPr/>
              <w:t> </w:t>
            </w:r>
          </w:p>
        </w:tc>
        <w:tc>
          <w:tcPr>
            <w:tcW w:w="1363" w:type="dxa"/>
            <w:tcBorders>
              <w:bottom w:val="single" w:sz="8" w:space="0" w:color="000000"/>
            </w:tcBorders>
            <w:tcMar>
              <w:bottom w:w="28" w:type="dxa"/>
            </w:tcMar>
            <w:vAlign w:val="bottom"/>
          </w:tcPr>
          <w:p>
            <w:pPr>
              <w:pStyle w:val="TableContents"/>
              <w:bidi w:val="0"/>
              <w:spacing w:before="0" w:after="283"/>
              <w:jc w:val="center"/>
              <w:rPr>
                <w:b/>
              </w:rPr>
            </w:pPr>
            <w:r>
              <w:rPr>
                <w:b/>
              </w:rPr>
              <w:t>Maximum</w:t>
              <w:br/>
              <w:t>Payout</w:t>
              <w:br/>
              <w:t>Attributable</w:t>
              <w:br/>
              <w:t>to</w:t>
              <w:br/>
              <w:t>Component</w:t>
            </w:r>
          </w:p>
        </w:tc>
      </w:tr>
      <w:tr>
        <w:trPr/>
        <w:tc>
          <w:tcPr>
            <w:tcW w:w="943" w:type="dxa"/>
            <w:tcBorders/>
          </w:tcPr>
          <w:p>
            <w:pPr>
              <w:pStyle w:val="TableContents"/>
              <w:bidi w:val="0"/>
              <w:spacing w:before="0" w:after="283"/>
              <w:jc w:val="left"/>
              <w:rPr/>
            </w:pPr>
            <w:r>
              <w:rPr/>
              <w:t>Adjusted EBITDA</w:t>
            </w:r>
          </w:p>
        </w:tc>
        <w:tc>
          <w:tcPr>
            <w:tcW w:w="64" w:type="dxa"/>
            <w:tcBorders/>
            <w:vAlign w:val="bottom"/>
          </w:tcPr>
          <w:p>
            <w:pPr>
              <w:pStyle w:val="TableContents"/>
              <w:bidi w:val="0"/>
              <w:spacing w:before="0" w:after="283"/>
              <w:jc w:val="left"/>
              <w:rPr/>
            </w:pPr>
            <w:r>
              <w:rPr/>
              <w:t> </w:t>
            </w:r>
          </w:p>
        </w:tc>
        <w:tc>
          <w:tcPr>
            <w:tcW w:w="1147" w:type="dxa"/>
            <w:tcBorders/>
          </w:tcPr>
          <w:p>
            <w:pPr>
              <w:pStyle w:val="TableContents"/>
              <w:bidi w:val="0"/>
              <w:spacing w:before="0" w:after="283"/>
              <w:jc w:val="center"/>
              <w:rPr/>
            </w:pPr>
            <w:r>
              <w:rPr/>
              <w:t>70%</w:t>
            </w:r>
          </w:p>
        </w:tc>
        <w:tc>
          <w:tcPr>
            <w:tcW w:w="128" w:type="dxa"/>
            <w:tcBorders/>
            <w:vAlign w:val="bottom"/>
          </w:tcPr>
          <w:p>
            <w:pPr>
              <w:pStyle w:val="TableContents"/>
              <w:bidi w:val="0"/>
              <w:spacing w:before="0" w:after="283"/>
              <w:jc w:val="left"/>
              <w:rPr/>
            </w:pPr>
            <w:r>
              <w:rPr/>
              <w:t>  </w:t>
            </w:r>
          </w:p>
        </w:tc>
        <w:tc>
          <w:tcPr>
            <w:tcW w:w="1264" w:type="dxa"/>
            <w:tcBorders/>
          </w:tcPr>
          <w:p>
            <w:pPr>
              <w:pStyle w:val="TableContents"/>
              <w:bidi w:val="0"/>
              <w:spacing w:before="0" w:after="283"/>
              <w:jc w:val="center"/>
              <w:rPr/>
            </w:pPr>
            <w:r>
              <w:rPr/>
              <w:t>50% of the Adjusted EBITDA Target</w:t>
            </w:r>
          </w:p>
        </w:tc>
        <w:tc>
          <w:tcPr>
            <w:tcW w:w="64" w:type="dxa"/>
            <w:tcBorders/>
            <w:vAlign w:val="bottom"/>
          </w:tcPr>
          <w:p>
            <w:pPr>
              <w:pStyle w:val="TableContents"/>
              <w:bidi w:val="0"/>
              <w:spacing w:before="0" w:after="283"/>
              <w:jc w:val="left"/>
              <w:rPr/>
            </w:pPr>
            <w:r>
              <w:rPr/>
              <w:t> </w:t>
            </w:r>
          </w:p>
        </w:tc>
        <w:tc>
          <w:tcPr>
            <w:tcW w:w="1283" w:type="dxa"/>
            <w:tcBorders/>
          </w:tcPr>
          <w:p>
            <w:pPr>
              <w:pStyle w:val="TableContents"/>
              <w:bidi w:val="0"/>
              <w:spacing w:before="0" w:after="283"/>
              <w:jc w:val="center"/>
              <w:rPr/>
            </w:pPr>
            <w:r>
              <w:rPr/>
              <w:t>35% of Base</w:t>
              <w:br/>
              <w:t>Salary</w:t>
            </w:r>
          </w:p>
        </w:tc>
        <w:tc>
          <w:tcPr>
            <w:tcW w:w="64" w:type="dxa"/>
            <w:tcBorders/>
            <w:vAlign w:val="bottom"/>
          </w:tcPr>
          <w:p>
            <w:pPr>
              <w:pStyle w:val="TableContents"/>
              <w:bidi w:val="0"/>
              <w:spacing w:before="0" w:after="283"/>
              <w:jc w:val="left"/>
              <w:rPr/>
            </w:pPr>
            <w:r>
              <w:rPr/>
              <w:t> </w:t>
            </w:r>
          </w:p>
        </w:tc>
        <w:tc>
          <w:tcPr>
            <w:tcW w:w="1229" w:type="dxa"/>
            <w:tcBorders/>
          </w:tcPr>
          <w:p>
            <w:pPr>
              <w:pStyle w:val="TableContents"/>
              <w:bidi w:val="0"/>
              <w:spacing w:before="0" w:after="283"/>
              <w:jc w:val="center"/>
              <w:rPr/>
            </w:pPr>
            <w:r>
              <w:rPr/>
              <w:t>100% of the Adjusted EBITDA Target</w:t>
            </w:r>
          </w:p>
        </w:tc>
        <w:tc>
          <w:tcPr>
            <w:tcW w:w="63" w:type="dxa"/>
            <w:tcBorders/>
            <w:vAlign w:val="bottom"/>
          </w:tcPr>
          <w:p>
            <w:pPr>
              <w:pStyle w:val="TableContents"/>
              <w:bidi w:val="0"/>
              <w:spacing w:before="0" w:after="283"/>
              <w:jc w:val="left"/>
              <w:rPr/>
            </w:pPr>
            <w:r>
              <w:rPr/>
              <w:t> </w:t>
            </w:r>
          </w:p>
        </w:tc>
        <w:tc>
          <w:tcPr>
            <w:tcW w:w="1283" w:type="dxa"/>
            <w:tcBorders/>
          </w:tcPr>
          <w:p>
            <w:pPr>
              <w:pStyle w:val="TableContents"/>
              <w:bidi w:val="0"/>
              <w:spacing w:before="0" w:after="283"/>
              <w:jc w:val="center"/>
              <w:rPr/>
            </w:pPr>
            <w:r>
              <w:rPr/>
              <w:t>70% of Base</w:t>
              <w:br/>
              <w:t>Salary</w:t>
            </w:r>
          </w:p>
        </w:tc>
        <w:tc>
          <w:tcPr>
            <w:tcW w:w="64" w:type="dxa"/>
            <w:tcBorders/>
            <w:vAlign w:val="bottom"/>
          </w:tcPr>
          <w:p>
            <w:pPr>
              <w:pStyle w:val="TableContents"/>
              <w:bidi w:val="0"/>
              <w:spacing w:before="0" w:after="283"/>
              <w:jc w:val="left"/>
              <w:rPr/>
            </w:pPr>
            <w:r>
              <w:rPr/>
              <w:t> </w:t>
            </w:r>
          </w:p>
        </w:tc>
        <w:tc>
          <w:tcPr>
            <w:tcW w:w="1186" w:type="dxa"/>
            <w:tcBorders/>
          </w:tcPr>
          <w:p>
            <w:pPr>
              <w:pStyle w:val="TableContents"/>
              <w:bidi w:val="0"/>
              <w:spacing w:before="0" w:after="283"/>
              <w:jc w:val="center"/>
              <w:rPr/>
            </w:pPr>
            <w:r>
              <w:rPr/>
              <w:t>200% of the Adjusted EBITDA Target</w:t>
            </w:r>
          </w:p>
        </w:tc>
        <w:tc>
          <w:tcPr>
            <w:tcW w:w="60" w:type="dxa"/>
            <w:tcBorders/>
            <w:vAlign w:val="bottom"/>
          </w:tcPr>
          <w:p>
            <w:pPr>
              <w:pStyle w:val="TableContents"/>
              <w:bidi w:val="0"/>
              <w:spacing w:before="0" w:after="283"/>
              <w:jc w:val="left"/>
              <w:rPr/>
            </w:pPr>
            <w:r>
              <w:rPr/>
              <w:t> </w:t>
            </w:r>
          </w:p>
        </w:tc>
        <w:tc>
          <w:tcPr>
            <w:tcW w:w="1363" w:type="dxa"/>
            <w:tcBorders/>
          </w:tcPr>
          <w:p>
            <w:pPr>
              <w:pStyle w:val="TableContents"/>
              <w:bidi w:val="0"/>
              <w:spacing w:before="0" w:after="283"/>
              <w:jc w:val="center"/>
              <w:rPr/>
            </w:pPr>
            <w:r>
              <w:rPr/>
              <w:t>140% of Base</w:t>
              <w:br/>
              <w:t>Salary</w:t>
            </w:r>
          </w:p>
        </w:tc>
      </w:tr>
      <w:tr>
        <w:trPr>
          <w:trHeight w:val="75" w:hRule="atLeast"/>
        </w:trPr>
        <w:tc>
          <w:tcPr>
            <w:tcW w:w="943" w:type="dxa"/>
            <w:tcBorders/>
            <w:vAlign w:val="center"/>
          </w:tcPr>
          <w:p>
            <w:pPr>
              <w:pStyle w:val="TableContents"/>
              <w:bidi w:val="0"/>
              <w:spacing w:before="0" w:after="283"/>
              <w:jc w:val="left"/>
              <w:rPr>
                <w:sz w:val="4"/>
                <w:szCs w:val="4"/>
              </w:rPr>
            </w:pPr>
            <w:r>
              <w:rPr>
                <w:sz w:val="4"/>
                <w:szCs w:val="4"/>
              </w:rPr>
            </w:r>
          </w:p>
        </w:tc>
        <w:tc>
          <w:tcPr>
            <w:tcW w:w="1211" w:type="dxa"/>
            <w:gridSpan w:val="2"/>
            <w:tcBorders/>
            <w:vAlign w:val="center"/>
          </w:tcPr>
          <w:p>
            <w:pPr>
              <w:pStyle w:val="TableContents"/>
              <w:bidi w:val="0"/>
              <w:spacing w:before="0" w:after="283"/>
              <w:jc w:val="left"/>
              <w:rPr>
                <w:sz w:val="4"/>
                <w:szCs w:val="4"/>
              </w:rPr>
            </w:pPr>
            <w:r>
              <w:rPr>
                <w:sz w:val="4"/>
                <w:szCs w:val="4"/>
              </w:rPr>
            </w:r>
          </w:p>
        </w:tc>
        <w:tc>
          <w:tcPr>
            <w:tcW w:w="1392" w:type="dxa"/>
            <w:gridSpan w:val="2"/>
            <w:tcBorders/>
            <w:vAlign w:val="center"/>
          </w:tcPr>
          <w:p>
            <w:pPr>
              <w:pStyle w:val="TableContents"/>
              <w:bidi w:val="0"/>
              <w:spacing w:before="0" w:after="283"/>
              <w:jc w:val="left"/>
              <w:rPr>
                <w:sz w:val="4"/>
                <w:szCs w:val="4"/>
              </w:rPr>
            </w:pPr>
            <w:r>
              <w:rPr>
                <w:sz w:val="4"/>
                <w:szCs w:val="4"/>
              </w:rPr>
            </w:r>
          </w:p>
        </w:tc>
        <w:tc>
          <w:tcPr>
            <w:tcW w:w="1347" w:type="dxa"/>
            <w:gridSpan w:val="2"/>
            <w:tcBorders/>
            <w:vAlign w:val="center"/>
          </w:tcPr>
          <w:p>
            <w:pPr>
              <w:pStyle w:val="TableContents"/>
              <w:bidi w:val="0"/>
              <w:spacing w:before="0" w:after="283"/>
              <w:jc w:val="left"/>
              <w:rPr>
                <w:sz w:val="4"/>
                <w:szCs w:val="4"/>
              </w:rPr>
            </w:pPr>
            <w:r>
              <w:rPr>
                <w:sz w:val="4"/>
                <w:szCs w:val="4"/>
              </w:rPr>
            </w:r>
          </w:p>
        </w:tc>
        <w:tc>
          <w:tcPr>
            <w:tcW w:w="1293" w:type="dxa"/>
            <w:gridSpan w:val="2"/>
            <w:tcBorders/>
            <w:vAlign w:val="center"/>
          </w:tcPr>
          <w:p>
            <w:pPr>
              <w:pStyle w:val="TableContents"/>
              <w:bidi w:val="0"/>
              <w:spacing w:before="0" w:after="283"/>
              <w:jc w:val="left"/>
              <w:rPr>
                <w:sz w:val="4"/>
                <w:szCs w:val="4"/>
              </w:rPr>
            </w:pPr>
            <w:r>
              <w:rPr>
                <w:sz w:val="4"/>
                <w:szCs w:val="4"/>
              </w:rPr>
            </w:r>
          </w:p>
        </w:tc>
        <w:tc>
          <w:tcPr>
            <w:tcW w:w="1346"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423" w:type="dxa"/>
            <w:gridSpan w:val="2"/>
            <w:tcBorders/>
            <w:vAlign w:val="center"/>
          </w:tcPr>
          <w:p>
            <w:pPr>
              <w:pStyle w:val="TableContents"/>
              <w:bidi w:val="0"/>
              <w:spacing w:before="0" w:after="283"/>
              <w:jc w:val="left"/>
              <w:rPr>
                <w:sz w:val="4"/>
                <w:szCs w:val="4"/>
              </w:rPr>
            </w:pPr>
            <w:r>
              <w:rPr>
                <w:sz w:val="4"/>
                <w:szCs w:val="4"/>
              </w:rPr>
            </w:r>
          </w:p>
        </w:tc>
      </w:tr>
      <w:tr>
        <w:trPr/>
        <w:tc>
          <w:tcPr>
            <w:tcW w:w="943" w:type="dxa"/>
            <w:tcBorders/>
          </w:tcPr>
          <w:p>
            <w:pPr>
              <w:pStyle w:val="TableContents"/>
              <w:bidi w:val="0"/>
              <w:spacing w:before="0" w:after="283"/>
              <w:jc w:val="left"/>
              <w:rPr/>
            </w:pPr>
            <w:r>
              <w:rPr/>
              <w:t>TRIR</w:t>
            </w:r>
          </w:p>
        </w:tc>
        <w:tc>
          <w:tcPr>
            <w:tcW w:w="64" w:type="dxa"/>
            <w:tcBorders/>
            <w:vAlign w:val="bottom"/>
          </w:tcPr>
          <w:p>
            <w:pPr>
              <w:pStyle w:val="TableContents"/>
              <w:bidi w:val="0"/>
              <w:spacing w:before="0" w:after="283"/>
              <w:jc w:val="left"/>
              <w:rPr/>
            </w:pPr>
            <w:r>
              <w:rPr/>
              <w:t> </w:t>
            </w:r>
          </w:p>
        </w:tc>
        <w:tc>
          <w:tcPr>
            <w:tcW w:w="1147" w:type="dxa"/>
            <w:tcBorders/>
          </w:tcPr>
          <w:p>
            <w:pPr>
              <w:pStyle w:val="TableContents"/>
              <w:bidi w:val="0"/>
              <w:spacing w:before="0" w:after="283"/>
              <w:jc w:val="center"/>
              <w:rPr/>
            </w:pPr>
            <w:r>
              <w:rPr/>
              <w:t>10%</w:t>
            </w:r>
          </w:p>
        </w:tc>
        <w:tc>
          <w:tcPr>
            <w:tcW w:w="128" w:type="dxa"/>
            <w:tcBorders/>
            <w:vAlign w:val="bottom"/>
          </w:tcPr>
          <w:p>
            <w:pPr>
              <w:pStyle w:val="TableContents"/>
              <w:bidi w:val="0"/>
              <w:spacing w:before="0" w:after="283"/>
              <w:jc w:val="left"/>
              <w:rPr/>
            </w:pPr>
            <w:r>
              <w:rPr/>
              <w:t>  </w:t>
            </w:r>
          </w:p>
        </w:tc>
        <w:tc>
          <w:tcPr>
            <w:tcW w:w="1264" w:type="dxa"/>
            <w:tcBorders/>
          </w:tcPr>
          <w:p>
            <w:pPr>
              <w:pStyle w:val="TableContents"/>
              <w:bidi w:val="0"/>
              <w:spacing w:before="0" w:after="283"/>
              <w:jc w:val="center"/>
              <w:rPr/>
            </w:pPr>
            <w:r>
              <w:rPr/>
              <w:t>TRIR less than the lowest average of all three annual safety benchmarks for any year falling within the most recent three years compiled by IADC, ISOA and IMCA</w:t>
            </w:r>
          </w:p>
        </w:tc>
        <w:tc>
          <w:tcPr>
            <w:tcW w:w="64" w:type="dxa"/>
            <w:tcBorders/>
            <w:vAlign w:val="bottom"/>
          </w:tcPr>
          <w:p>
            <w:pPr>
              <w:pStyle w:val="TableContents"/>
              <w:bidi w:val="0"/>
              <w:spacing w:before="0" w:after="283"/>
              <w:jc w:val="left"/>
              <w:rPr/>
            </w:pPr>
            <w:r>
              <w:rPr/>
              <w:t> </w:t>
            </w:r>
          </w:p>
        </w:tc>
        <w:tc>
          <w:tcPr>
            <w:tcW w:w="1283" w:type="dxa"/>
            <w:tcBorders/>
          </w:tcPr>
          <w:p>
            <w:pPr>
              <w:pStyle w:val="TableContents"/>
              <w:bidi w:val="0"/>
              <w:spacing w:before="0" w:after="283"/>
              <w:jc w:val="center"/>
              <w:rPr/>
            </w:pPr>
            <w:r>
              <w:rPr/>
              <w:t>5% of Base</w:t>
              <w:br/>
              <w:t>Salary</w:t>
            </w:r>
          </w:p>
        </w:tc>
        <w:tc>
          <w:tcPr>
            <w:tcW w:w="64" w:type="dxa"/>
            <w:tcBorders/>
            <w:vAlign w:val="bottom"/>
          </w:tcPr>
          <w:p>
            <w:pPr>
              <w:pStyle w:val="TableContents"/>
              <w:bidi w:val="0"/>
              <w:spacing w:before="0" w:after="283"/>
              <w:jc w:val="left"/>
              <w:rPr/>
            </w:pPr>
            <w:r>
              <w:rPr/>
              <w:t> </w:t>
            </w:r>
          </w:p>
        </w:tc>
        <w:tc>
          <w:tcPr>
            <w:tcW w:w="1229" w:type="dxa"/>
            <w:tcBorders/>
          </w:tcPr>
          <w:p>
            <w:pPr>
              <w:pStyle w:val="TableContents"/>
              <w:bidi w:val="0"/>
              <w:spacing w:before="0" w:after="283"/>
              <w:jc w:val="center"/>
              <w:rPr/>
            </w:pPr>
            <w:r>
              <w:rPr/>
              <w:t>TRIR less than the lowest of any one of the three annual safety benchmarks for any year falling within the most recent three years compiled by IADC, ISOA and IMCA.</w:t>
            </w:r>
          </w:p>
        </w:tc>
        <w:tc>
          <w:tcPr>
            <w:tcW w:w="63" w:type="dxa"/>
            <w:tcBorders/>
            <w:vAlign w:val="bottom"/>
          </w:tcPr>
          <w:p>
            <w:pPr>
              <w:pStyle w:val="TableContents"/>
              <w:bidi w:val="0"/>
              <w:spacing w:before="0" w:after="283"/>
              <w:jc w:val="left"/>
              <w:rPr/>
            </w:pPr>
            <w:r>
              <w:rPr/>
              <w:t> </w:t>
            </w:r>
          </w:p>
        </w:tc>
        <w:tc>
          <w:tcPr>
            <w:tcW w:w="1283" w:type="dxa"/>
            <w:tcBorders/>
          </w:tcPr>
          <w:p>
            <w:pPr>
              <w:pStyle w:val="TableContents"/>
              <w:bidi w:val="0"/>
              <w:spacing w:before="0" w:after="283"/>
              <w:jc w:val="center"/>
              <w:rPr/>
            </w:pPr>
            <w:r>
              <w:rPr/>
              <w:t>10% of Base</w:t>
              <w:br/>
              <w:t>Salary</w:t>
            </w:r>
          </w:p>
        </w:tc>
        <w:tc>
          <w:tcPr>
            <w:tcW w:w="64" w:type="dxa"/>
            <w:tcBorders/>
            <w:vAlign w:val="bottom"/>
          </w:tcPr>
          <w:p>
            <w:pPr>
              <w:pStyle w:val="TableContents"/>
              <w:bidi w:val="0"/>
              <w:spacing w:before="0" w:after="283"/>
              <w:jc w:val="left"/>
              <w:rPr/>
            </w:pPr>
            <w:r>
              <w:rPr/>
              <w:t> </w:t>
            </w:r>
          </w:p>
        </w:tc>
        <w:tc>
          <w:tcPr>
            <w:tcW w:w="1186" w:type="dxa"/>
            <w:tcBorders/>
          </w:tcPr>
          <w:p>
            <w:pPr>
              <w:pStyle w:val="TableContents"/>
              <w:bidi w:val="0"/>
              <w:spacing w:before="0" w:after="283"/>
              <w:jc w:val="center"/>
              <w:rPr/>
            </w:pPr>
            <w:r>
              <w:rPr/>
              <w:t>TRIR at least 10% less than the Company’s three best annual TRIRs achieved in the last ten years</w:t>
            </w:r>
          </w:p>
        </w:tc>
        <w:tc>
          <w:tcPr>
            <w:tcW w:w="60" w:type="dxa"/>
            <w:tcBorders/>
            <w:vAlign w:val="bottom"/>
          </w:tcPr>
          <w:p>
            <w:pPr>
              <w:pStyle w:val="TableContents"/>
              <w:bidi w:val="0"/>
              <w:spacing w:before="0" w:after="283"/>
              <w:jc w:val="left"/>
              <w:rPr/>
            </w:pPr>
            <w:r>
              <w:rPr/>
              <w:t> </w:t>
            </w:r>
          </w:p>
        </w:tc>
        <w:tc>
          <w:tcPr>
            <w:tcW w:w="1363" w:type="dxa"/>
            <w:tcBorders/>
          </w:tcPr>
          <w:p>
            <w:pPr>
              <w:pStyle w:val="TableContents"/>
              <w:bidi w:val="0"/>
              <w:spacing w:before="0" w:after="283"/>
              <w:jc w:val="center"/>
              <w:rPr/>
            </w:pPr>
            <w:r>
              <w:rPr/>
              <w:t>20% of Base</w:t>
              <w:br/>
              <w:t>Salary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discussion concerning our use of TRIR in connection with compensation-related matters is found in the section captioned “Compensation Committee Procedures.” </w:t>
      </w:r>
    </w:p>
    <w:p>
      <w:pPr>
        <w:pStyle w:val="TextBody"/>
        <w:bidi w:val="0"/>
        <w:spacing w:before="240" w:after="0"/>
        <w:jc w:val="left"/>
        <w:rPr>
          <w:rFonts w:ascii="Times New Roman" w:hAnsi="Times New Roman"/>
          <w:sz w:val="20"/>
        </w:rPr>
      </w:pPr>
      <w:r>
        <w:rPr>
          <w:rFonts w:ascii="Times New Roman" w:hAnsi="Times New Roman"/>
          <w:sz w:val="20"/>
        </w:rPr>
        <w:t xml:space="preserve">As of the filing date, the cash incentive compensation payout for our NEOs for Fiscal 2025 has not yet been determined. Such cash incentive compensation will be paid in accordance with each NEO’s EA on or before March 15, 2026 and will be disclosed, as applicable, once available. </w:t>
      </w:r>
    </w:p>
    <w:p>
      <w:pPr>
        <w:pStyle w:val="TextBody"/>
        <w:bidi w:val="0"/>
        <w:spacing w:before="240" w:after="0"/>
        <w:jc w:val="left"/>
        <w:rPr>
          <w:rFonts w:ascii="Times New Roman" w:hAnsi="Times New Roman"/>
          <w:sz w:val="20"/>
        </w:rPr>
      </w:pPr>
      <w:r>
        <w:rPr>
          <w:rFonts w:ascii="Times New Roman" w:hAnsi="Times New Roman"/>
          <w:sz w:val="20"/>
        </w:rPr>
        <w:t xml:space="preserve">In extraordinary circumstances, the compensation committee can award event-driven or accomplishment- specific bonuses to the NEOs, which would be independent of the cash incentive compensation derived under the formulaic approach.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Long-Term 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interests of our stockholders are best served when a meaningful portion of executive and management compensation is tied to equity ownership. On September 4, 2020, we adopted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The Company has historically used a combination of stock options, RSUs and PSUs as a means to incentivize long-term employment and performance and to align individual compensation with the objective of building stockholder value. The Company uses equity incentive compensation, with vesting based on time, performance or both, as a means of encouraging a “culture of ownership” among employees, including our NEOs. The compensation committee believes that by using equity-based forms of incentive compensation, the interests of the Company’s stockholders and the Company’s management employees remain aligned over the long-term. The compensation committee exercises discretion in determining the number and type of equity awards to be granted to our executive officers, including our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Board of Directors,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 </w:t>
      </w:r>
    </w:p>
    <w:p>
      <w:pPr>
        <w:pStyle w:val="TextBody"/>
        <w:bidi w:val="0"/>
        <w:spacing w:before="240" w:after="0"/>
        <w:jc w:val="left"/>
        <w:rPr>
          <w:rFonts w:ascii="Times New Roman" w:hAnsi="Times New Roman"/>
          <w:sz w:val="20"/>
        </w:rPr>
      </w:pPr>
      <w:r>
        <w:rPr>
          <w:rFonts w:ascii="Times New Roman" w:hAnsi="Times New Roman"/>
          <w:sz w:val="20"/>
        </w:rPr>
        <w:t xml:space="preserve">On April 1, 2025, we granted RSUs and non-qualified stock options (“NQSOs”) to each of our NEOs. We did not grant any PSUs to any of our NEOs in 2025. The RSUs and NQSOs will vest and become settleable in three equal tranches on February 15th of each of 2026, 2027 and 2028,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vest in the next tranche of his RSUs or NQSOs). Notwithstanding the foregoing, all of an NEO’s unvested RSUs will vest upon the consummation of a “change of control”, subject to his continued service through the date of such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Each RSU granted to our NEOs is credited with dividends paid in respect of one share of our common stock (“Dividend Equivalents”). Dividend Equivalents credited to an NEO’s respective account and attributable to any particular RSU (and earnings thereon, if applicable) will be distributed to such NEO upon settlement of such RSU, as applicable, and if such RSU is forfeited, such NEO shall have no right to such Dividend Equivalents. For the avoidance of doubt, any Dividend Equivalents paid in respect of an RSU will be subject to the same vesting conditions as apply to the underlying award. Any payments made pursuant to the Dividend Equivalents will be paid in either cash or, to the extent such rights are paid in shares of our common stock, shares of our common stock. NQSOs are not credited with Dividend Equivalents. </w:t>
      </w:r>
    </w:p>
    <w:p>
      <w:pPr>
        <w:pStyle w:val="TextBody"/>
        <w:bidi w:val="0"/>
        <w:spacing w:before="240" w:after="0"/>
        <w:jc w:val="left"/>
        <w:rPr>
          <w:rFonts w:ascii="Times New Roman" w:hAnsi="Times New Roman"/>
          <w:sz w:val="20"/>
        </w:rPr>
      </w:pPr>
      <w:r>
        <w:rPr>
          <w:rFonts w:ascii="Times New Roman" w:hAnsi="Times New Roman"/>
          <w:sz w:val="20"/>
        </w:rPr>
        <w:t xml:space="preserve">We favor time-based awards, which emphasize the retentive quality of our equity-based compensation.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670"/>
        <w:gridCol w:w="594"/>
        <w:gridCol w:w="145"/>
        <w:gridCol w:w="1645"/>
        <w:gridCol w:w="60"/>
        <w:gridCol w:w="594"/>
        <w:gridCol w:w="159"/>
        <w:gridCol w:w="1824"/>
        <w:gridCol w:w="64"/>
      </w:tblGrid>
      <w:tr>
        <w:trPr/>
        <w:tc>
          <w:tcPr>
            <w:tcW w:w="2670" w:type="dxa"/>
            <w:tcBorders/>
            <w:vAlign w:val="center"/>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4"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6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w:t>
            </w:r>
          </w:p>
        </w:tc>
        <w:tc>
          <w:tcPr>
            <w:tcW w:w="594" w:type="dxa"/>
            <w:tcBorders/>
            <w:vAlign w:val="bottom"/>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 RSUs</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1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Fiscal 2025 NQSOs</w:t>
            </w:r>
          </w:p>
        </w:tc>
        <w:tc>
          <w:tcPr>
            <w:tcW w:w="64" w:type="dxa"/>
            <w:tcBorders/>
            <w:vAlign w:val="bottom"/>
          </w:tcPr>
          <w:p>
            <w:pPr>
              <w:pStyle w:val="TableContents"/>
              <w:bidi w:val="0"/>
              <w:spacing w:before="0" w:after="283"/>
              <w:jc w:val="left"/>
              <w:rPr/>
            </w:pPr>
            <w:r>
              <w:rPr/>
              <w:t> </w:t>
            </w:r>
          </w:p>
        </w:tc>
      </w:tr>
      <w:tr>
        <w:trPr/>
        <w:tc>
          <w:tcPr>
            <w:tcW w:w="26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5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17,131</w:t>
            </w:r>
          </w:p>
        </w:tc>
        <w:tc>
          <w:tcPr>
            <w:tcW w:w="60"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51,393</w:t>
            </w:r>
          </w:p>
        </w:tc>
        <w:tc>
          <w:tcPr>
            <w:tcW w:w="64" w:type="dxa"/>
            <w:tcBorders/>
            <w:shd w:fill="CCEEFF" w:val="clear"/>
            <w:vAlign w:val="bottom"/>
          </w:tcPr>
          <w:p>
            <w:pPr>
              <w:pStyle w:val="TableContents"/>
              <w:bidi w:val="0"/>
              <w:spacing w:before="0" w:after="283"/>
              <w:jc w:val="left"/>
              <w:rPr/>
            </w:pPr>
            <w:r>
              <w:rPr/>
              <w:t> </w:t>
            </w:r>
          </w:p>
        </w:tc>
      </w:tr>
      <w:tr>
        <w:trPr/>
        <w:tc>
          <w:tcPr>
            <w:tcW w:w="2670"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5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6,601</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19,804</w:t>
            </w:r>
          </w:p>
        </w:tc>
        <w:tc>
          <w:tcPr>
            <w:tcW w:w="64" w:type="dxa"/>
            <w:tcBorders/>
            <w:vAlign w:val="bottom"/>
          </w:tcPr>
          <w:p>
            <w:pPr>
              <w:pStyle w:val="TableContents"/>
              <w:bidi w:val="0"/>
              <w:spacing w:before="0" w:after="283"/>
              <w:jc w:val="left"/>
              <w:rPr/>
            </w:pPr>
            <w:r>
              <w:rPr/>
              <w:t> </w:t>
            </w:r>
          </w:p>
        </w:tc>
      </w:tr>
      <w:tr>
        <w:trPr/>
        <w:tc>
          <w:tcPr>
            <w:tcW w:w="26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5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6,601</w:t>
            </w:r>
          </w:p>
        </w:tc>
        <w:tc>
          <w:tcPr>
            <w:tcW w:w="60"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19,804</w:t>
            </w:r>
          </w:p>
        </w:tc>
        <w:tc>
          <w:tcPr>
            <w:tcW w:w="64" w:type="dxa"/>
            <w:tcBorders/>
            <w:shd w:fill="CCEEFF" w:val="clear"/>
            <w:vAlign w:val="bottom"/>
          </w:tcPr>
          <w:p>
            <w:pPr>
              <w:pStyle w:val="TableContents"/>
              <w:bidi w:val="0"/>
              <w:spacing w:before="0" w:after="283"/>
              <w:jc w:val="left"/>
              <w:rPr/>
            </w:pPr>
            <w:r>
              <w:rPr/>
              <w:t> </w:t>
            </w:r>
          </w:p>
        </w:tc>
      </w:tr>
      <w:tr>
        <w:trPr/>
        <w:tc>
          <w:tcPr>
            <w:tcW w:w="2670"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59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645" w:type="dxa"/>
            <w:tcBorders/>
            <w:vAlign w:val="bottom"/>
          </w:tcPr>
          <w:p>
            <w:pPr>
              <w:pStyle w:val="TableContents"/>
              <w:bidi w:val="0"/>
              <w:spacing w:before="0" w:after="283"/>
              <w:jc w:val="right"/>
              <w:rPr/>
            </w:pPr>
            <w:r>
              <w:rPr/>
              <w:t>6,601</w:t>
            </w:r>
          </w:p>
        </w:tc>
        <w:tc>
          <w:tcPr>
            <w:tcW w:w="60"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824" w:type="dxa"/>
            <w:tcBorders/>
            <w:vAlign w:val="bottom"/>
          </w:tcPr>
          <w:p>
            <w:pPr>
              <w:pStyle w:val="TableContents"/>
              <w:bidi w:val="0"/>
              <w:spacing w:before="0" w:after="283"/>
              <w:jc w:val="right"/>
              <w:rPr/>
            </w:pPr>
            <w:r>
              <w:rPr/>
              <w:t>19,804</w:t>
            </w:r>
          </w:p>
        </w:tc>
        <w:tc>
          <w:tcPr>
            <w:tcW w:w="64" w:type="dxa"/>
            <w:tcBorders/>
            <w:vAlign w:val="bottom"/>
          </w:tcPr>
          <w:p>
            <w:pPr>
              <w:pStyle w:val="TableContents"/>
              <w:bidi w:val="0"/>
              <w:spacing w:before="0" w:after="283"/>
              <w:jc w:val="left"/>
              <w:rPr/>
            </w:pPr>
            <w:r>
              <w:rPr/>
              <w:t> </w:t>
            </w:r>
          </w:p>
        </w:tc>
      </w:tr>
      <w:tr>
        <w:trPr/>
        <w:tc>
          <w:tcPr>
            <w:tcW w:w="26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594"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645" w:type="dxa"/>
            <w:tcBorders/>
            <w:shd w:fill="CCEEFF" w:val="clear"/>
            <w:vAlign w:val="bottom"/>
          </w:tcPr>
          <w:p>
            <w:pPr>
              <w:pStyle w:val="TableContents"/>
              <w:bidi w:val="0"/>
              <w:spacing w:before="0" w:after="283"/>
              <w:jc w:val="right"/>
              <w:rPr/>
            </w:pPr>
            <w:r>
              <w:rPr/>
              <w:t>6,601</w:t>
            </w:r>
          </w:p>
        </w:tc>
        <w:tc>
          <w:tcPr>
            <w:tcW w:w="60" w:type="dxa"/>
            <w:tcBorders/>
            <w:shd w:fill="CCEEFF" w:val="clear"/>
            <w:vAlign w:val="bottom"/>
          </w:tcPr>
          <w:p>
            <w:pPr>
              <w:pStyle w:val="TableContents"/>
              <w:bidi w:val="0"/>
              <w:spacing w:before="0" w:after="283"/>
              <w:jc w:val="left"/>
              <w:rPr/>
            </w:pPr>
            <w:r>
              <w:rPr/>
              <w:t> </w:t>
            </w:r>
          </w:p>
        </w:tc>
        <w:tc>
          <w:tcPr>
            <w:tcW w:w="594"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824" w:type="dxa"/>
            <w:tcBorders/>
            <w:shd w:fill="CCEEFF" w:val="clear"/>
            <w:vAlign w:val="bottom"/>
          </w:tcPr>
          <w:p>
            <w:pPr>
              <w:pStyle w:val="TableContents"/>
              <w:bidi w:val="0"/>
              <w:spacing w:before="0" w:after="283"/>
              <w:jc w:val="right"/>
              <w:rPr/>
            </w:pPr>
            <w:r>
              <w:rPr/>
              <w:t>19,804</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Long-Term Cash Incentive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2025, we adopted the 2025 Cash Long Term Incentive Plan (the “Cash LTIP”) to further enable us to incentivize and reward our NEOs and align the interests of management with the Company and our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Cash LTIP, upon certain capital return events, including distributions to our stockholders from cash flow and certain other approved monetization events, each NEO is entitled to receive a cash payment equal to the product of (a) their applicable participation percentage and (b) the aggregate amount of the Cash LTIP pool that is funded based on the amount of returned capital, subject to the NEO’s continued employment through the date of the capital return event. The amount of the pool is up to maximum of $6 million. The percentage of the pool that each NEO is eligible to receive is 40% for Mr. Hornbeck and 15% for each other NEO. </w:t>
      </w:r>
    </w:p>
    <w:p>
      <w:pPr>
        <w:pStyle w:val="TextBody"/>
        <w:bidi w:val="0"/>
        <w:spacing w:before="240" w:after="0"/>
        <w:jc w:val="left"/>
        <w:rPr>
          <w:rFonts w:ascii="Times New Roman" w:hAnsi="Times New Roman"/>
          <w:sz w:val="20"/>
        </w:rPr>
      </w:pPr>
      <w:r>
        <w:rPr>
          <w:rFonts w:ascii="Times New Roman" w:hAnsi="Times New Roman"/>
          <w:sz w:val="20"/>
        </w:rPr>
        <w:t xml:space="preserve">The 2025 Tender Offer was deemed to be a capital return event under the Cash LTIP and, as a result of the 2025 Tender Offer, the NEOs received the payments set forth below under the Cash LTIP in December 2025 (the “2025 Cash LTIP Payments”):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7"/>
        <w:gridCol w:w="517"/>
        <w:gridCol w:w="204"/>
        <w:gridCol w:w="1108"/>
        <w:gridCol w:w="63"/>
      </w:tblGrid>
      <w:tr>
        <w:trPr/>
        <w:tc>
          <w:tcPr>
            <w:tcW w:w="5047" w:type="dxa"/>
            <w:tcBorders/>
            <w:vAlign w:val="center"/>
          </w:tcPr>
          <w:p>
            <w:pPr>
              <w:pStyle w:val="TableContents"/>
              <w:bidi w:val="0"/>
              <w:spacing w:before="0" w:after="283"/>
              <w:jc w:val="left"/>
              <w:rPr>
                <w:sz w:val="4"/>
                <w:szCs w:val="4"/>
              </w:rPr>
            </w:pPr>
            <w:r>
              <w:rPr>
                <w:sz w:val="4"/>
                <w:szCs w:val="4"/>
              </w:rPr>
            </w:r>
          </w:p>
        </w:tc>
        <w:tc>
          <w:tcPr>
            <w:tcW w:w="517"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w:t>
            </w:r>
          </w:p>
        </w:tc>
        <w:tc>
          <w:tcPr>
            <w:tcW w:w="517" w:type="dxa"/>
            <w:tcBorders/>
            <w:vAlign w:val="bottom"/>
          </w:tcPr>
          <w:p>
            <w:pPr>
              <w:pStyle w:val="TableContents"/>
              <w:bidi w:val="0"/>
              <w:spacing w:before="0" w:after="283"/>
              <w:jc w:val="left"/>
              <w:rPr/>
            </w:pPr>
            <w:r>
              <w:rPr/>
              <w:t>  </w:t>
            </w:r>
          </w:p>
        </w:tc>
        <w:tc>
          <w:tcPr>
            <w:tcW w:w="13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LTIP</w:t>
              <w:br/>
              <w:t>Payment</w:t>
            </w:r>
          </w:p>
        </w:tc>
        <w:tc>
          <w:tcPr>
            <w:tcW w:w="63" w:type="dxa"/>
            <w:tcBorders/>
            <w:vAlign w:val="bottom"/>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5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92,204</w:t>
            </w:r>
          </w:p>
        </w:tc>
        <w:tc>
          <w:tcPr>
            <w:tcW w:w="63" w:type="dxa"/>
            <w:tcBorders/>
            <w:shd w:fill="CCEEFF" w:val="clear"/>
            <w:vAlign w:val="bottom"/>
          </w:tcPr>
          <w:p>
            <w:pPr>
              <w:pStyle w:val="TableContents"/>
              <w:bidi w:val="0"/>
              <w:spacing w:before="0" w:after="283"/>
              <w:jc w:val="left"/>
              <w:rPr/>
            </w:pPr>
            <w:r>
              <w:rPr/>
              <w:t> </w:t>
            </w:r>
          </w:p>
        </w:tc>
      </w:tr>
      <w:tr>
        <w:trPr/>
        <w:tc>
          <w:tcPr>
            <w:tcW w:w="5047"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5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34,576</w:t>
            </w:r>
          </w:p>
        </w:tc>
        <w:tc>
          <w:tcPr>
            <w:tcW w:w="63" w:type="dxa"/>
            <w:tcBorders/>
            <w:vAlign w:val="bottom"/>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5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34,576</w:t>
            </w:r>
          </w:p>
        </w:tc>
        <w:tc>
          <w:tcPr>
            <w:tcW w:w="63" w:type="dxa"/>
            <w:tcBorders/>
            <w:shd w:fill="CCEEFF" w:val="clear"/>
            <w:vAlign w:val="bottom"/>
          </w:tcPr>
          <w:p>
            <w:pPr>
              <w:pStyle w:val="TableContents"/>
              <w:bidi w:val="0"/>
              <w:spacing w:before="0" w:after="283"/>
              <w:jc w:val="left"/>
              <w:rPr/>
            </w:pPr>
            <w:r>
              <w:rPr/>
              <w:t> </w:t>
            </w:r>
          </w:p>
        </w:tc>
      </w:tr>
      <w:tr>
        <w:trPr/>
        <w:tc>
          <w:tcPr>
            <w:tcW w:w="5047"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51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108" w:type="dxa"/>
            <w:tcBorders/>
            <w:vAlign w:val="bottom"/>
          </w:tcPr>
          <w:p>
            <w:pPr>
              <w:pStyle w:val="TableContents"/>
              <w:bidi w:val="0"/>
              <w:spacing w:before="0" w:after="283"/>
              <w:jc w:val="right"/>
              <w:rPr/>
            </w:pPr>
            <w:r>
              <w:rPr/>
              <w:t>34,576</w:t>
            </w:r>
          </w:p>
        </w:tc>
        <w:tc>
          <w:tcPr>
            <w:tcW w:w="63" w:type="dxa"/>
            <w:tcBorders/>
            <w:vAlign w:val="bottom"/>
          </w:tcPr>
          <w:p>
            <w:pPr>
              <w:pStyle w:val="TableContents"/>
              <w:bidi w:val="0"/>
              <w:spacing w:before="0" w:after="283"/>
              <w:jc w:val="left"/>
              <w:rPr/>
            </w:pPr>
            <w:r>
              <w:rPr/>
              <w:t> </w:t>
            </w:r>
          </w:p>
        </w:tc>
      </w:tr>
      <w:tr>
        <w:trPr/>
        <w:tc>
          <w:tcPr>
            <w:tcW w:w="50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51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34,576</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Executive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We provide our NEOs and our other employees with certain perquisites and other personal benefits as part of providing a competitive executive compensation program and for employee retention. The following table generally identifies the Company’s benefit plans and identifies those employees who may be eligible to participate. The NEOs participate in the following benefit plans in the same manner that our employees do, except where noted below: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028"/>
        <w:gridCol w:w="465"/>
        <w:gridCol w:w="1870"/>
        <w:gridCol w:w="465"/>
        <w:gridCol w:w="1884"/>
        <w:gridCol w:w="465"/>
        <w:gridCol w:w="2211"/>
      </w:tblGrid>
      <w:tr>
        <w:trPr/>
        <w:tc>
          <w:tcPr>
            <w:tcW w:w="2028"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20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Benefit Plan</w:t>
            </w:r>
          </w:p>
        </w:tc>
        <w:tc>
          <w:tcPr>
            <w:tcW w:w="465" w:type="dxa"/>
            <w:tcBorders/>
            <w:vAlign w:val="bottom"/>
          </w:tcPr>
          <w:p>
            <w:pPr>
              <w:pStyle w:val="TableContents"/>
              <w:bidi w:val="0"/>
              <w:spacing w:before="0" w:after="283"/>
              <w:jc w:val="left"/>
              <w:rPr/>
            </w:pPr>
            <w:r>
              <w:rPr/>
              <w:t>  </w:t>
            </w:r>
          </w:p>
        </w:tc>
        <w:tc>
          <w:tcPr>
            <w:tcW w:w="1870" w:type="dxa"/>
            <w:tcBorders>
              <w:bottom w:val="single" w:sz="8" w:space="0" w:color="000000"/>
            </w:tcBorders>
            <w:tcMar>
              <w:bottom w:w="28" w:type="dxa"/>
            </w:tcMar>
            <w:vAlign w:val="bottom"/>
          </w:tcPr>
          <w:p>
            <w:pPr>
              <w:pStyle w:val="TableContents"/>
              <w:bidi w:val="0"/>
              <w:spacing w:before="0" w:after="283"/>
              <w:jc w:val="center"/>
              <w:rPr>
                <w:b/>
              </w:rPr>
            </w:pPr>
            <w:r>
              <w:rPr>
                <w:b/>
              </w:rPr>
              <w:t>Executive Officers</w:t>
              <w:br/>
              <w:t>(including NEOs)</w:t>
            </w:r>
          </w:p>
        </w:tc>
        <w:tc>
          <w:tcPr>
            <w:tcW w:w="465"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83"/>
              <w:jc w:val="center"/>
              <w:rPr>
                <w:b/>
              </w:rPr>
            </w:pPr>
            <w:r>
              <w:rPr>
                <w:b/>
              </w:rPr>
              <w:t>Certain Managers</w:t>
            </w:r>
          </w:p>
        </w:tc>
        <w:tc>
          <w:tcPr>
            <w:tcW w:w="465" w:type="dxa"/>
            <w:tcBorders/>
            <w:vAlign w:val="bottom"/>
          </w:tcPr>
          <w:p>
            <w:pPr>
              <w:pStyle w:val="TableContents"/>
              <w:bidi w:val="0"/>
              <w:spacing w:before="0" w:after="283"/>
              <w:jc w:val="left"/>
              <w:rPr/>
            </w:pPr>
            <w:r>
              <w:rPr/>
              <w:t>  </w:t>
            </w:r>
          </w:p>
        </w:tc>
        <w:tc>
          <w:tcPr>
            <w:tcW w:w="2211" w:type="dxa"/>
            <w:tcBorders>
              <w:bottom w:val="single" w:sz="8" w:space="0" w:color="000000"/>
            </w:tcBorders>
            <w:tcMar>
              <w:bottom w:w="28" w:type="dxa"/>
            </w:tcMar>
            <w:vAlign w:val="bottom"/>
          </w:tcPr>
          <w:p>
            <w:pPr>
              <w:pStyle w:val="TableContents"/>
              <w:bidi w:val="0"/>
              <w:spacing w:before="0" w:after="283"/>
              <w:jc w:val="center"/>
              <w:rPr>
                <w:b/>
              </w:rPr>
            </w:pPr>
            <w:r>
              <w:rPr>
                <w:b/>
              </w:rPr>
              <w:t>Full-Time Employees</w:t>
            </w:r>
          </w:p>
        </w:tc>
      </w:tr>
      <w:tr>
        <w:trPr/>
        <w:tc>
          <w:tcPr>
            <w:tcW w:w="2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Medical Insurance(1)</w:t>
            </w:r>
          </w:p>
        </w:tc>
        <w:tc>
          <w:tcPr>
            <w:tcW w:w="46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2211" w:type="dxa"/>
            <w:tcBorders/>
            <w:shd w:fill="CCEEFF" w:val="clear"/>
            <w:vAlign w:val="bottom"/>
          </w:tcPr>
          <w:p>
            <w:pPr>
              <w:pStyle w:val="TableContents"/>
              <w:bidi w:val="0"/>
              <w:spacing w:before="0" w:after="283"/>
              <w:jc w:val="center"/>
              <w:rPr/>
            </w:pPr>
            <w:r>
              <w:rPr/>
              <w:t>X</w:t>
            </w:r>
          </w:p>
        </w:tc>
      </w:tr>
      <w:tr>
        <w:trPr/>
        <w:tc>
          <w:tcPr>
            <w:tcW w:w="2028" w:type="dxa"/>
            <w:tcBorders/>
          </w:tcPr>
          <w:p>
            <w:pPr>
              <w:pStyle w:val="TableContents"/>
              <w:bidi w:val="0"/>
              <w:spacing w:before="0" w:after="0"/>
              <w:jc w:val="left"/>
              <w:rPr>
                <w:rFonts w:ascii="Times New Roman" w:hAnsi="Times New Roman"/>
                <w:sz w:val="20"/>
              </w:rPr>
            </w:pPr>
            <w:r>
              <w:rPr>
                <w:rFonts w:ascii="Times New Roman" w:hAnsi="Times New Roman"/>
                <w:sz w:val="20"/>
              </w:rPr>
              <w:t>Dental Insurance(1)</w:t>
            </w:r>
          </w:p>
        </w:tc>
        <w:tc>
          <w:tcPr>
            <w:tcW w:w="46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2211" w:type="dxa"/>
            <w:tcBorders/>
            <w:vAlign w:val="bottom"/>
          </w:tcPr>
          <w:p>
            <w:pPr>
              <w:pStyle w:val="TableContents"/>
              <w:bidi w:val="0"/>
              <w:spacing w:before="0" w:after="283"/>
              <w:jc w:val="center"/>
              <w:rPr/>
            </w:pPr>
            <w:r>
              <w:rPr/>
              <w:t>X</w:t>
            </w:r>
          </w:p>
        </w:tc>
      </w:tr>
      <w:tr>
        <w:trPr/>
        <w:tc>
          <w:tcPr>
            <w:tcW w:w="2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Vision Insurance(1)</w:t>
            </w:r>
          </w:p>
        </w:tc>
        <w:tc>
          <w:tcPr>
            <w:tcW w:w="46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2211" w:type="dxa"/>
            <w:tcBorders/>
            <w:shd w:fill="CCEEFF" w:val="clear"/>
            <w:vAlign w:val="bottom"/>
          </w:tcPr>
          <w:p>
            <w:pPr>
              <w:pStyle w:val="TableContents"/>
              <w:bidi w:val="0"/>
              <w:spacing w:before="0" w:after="283"/>
              <w:jc w:val="center"/>
              <w:rPr/>
            </w:pPr>
            <w:r>
              <w:rPr/>
              <w:t>X</w:t>
            </w:r>
          </w:p>
        </w:tc>
      </w:tr>
      <w:tr>
        <w:trPr/>
        <w:tc>
          <w:tcPr>
            <w:tcW w:w="2028" w:type="dxa"/>
            <w:tcBorders/>
          </w:tcPr>
          <w:p>
            <w:pPr>
              <w:pStyle w:val="TableContents"/>
              <w:bidi w:val="0"/>
              <w:spacing w:before="0" w:after="0"/>
              <w:jc w:val="left"/>
              <w:rPr>
                <w:rFonts w:ascii="Times New Roman" w:hAnsi="Times New Roman"/>
                <w:sz w:val="20"/>
              </w:rPr>
            </w:pPr>
            <w:r>
              <w:rPr>
                <w:rFonts w:ascii="Times New Roman" w:hAnsi="Times New Roman"/>
                <w:sz w:val="20"/>
              </w:rPr>
              <w:t>Employee Assistance Plan</w:t>
            </w:r>
          </w:p>
        </w:tc>
        <w:tc>
          <w:tcPr>
            <w:tcW w:w="46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2211" w:type="dxa"/>
            <w:tcBorders/>
            <w:vAlign w:val="bottom"/>
          </w:tcPr>
          <w:p>
            <w:pPr>
              <w:pStyle w:val="TableContents"/>
              <w:bidi w:val="0"/>
              <w:spacing w:before="0" w:after="283"/>
              <w:jc w:val="center"/>
              <w:rPr/>
            </w:pPr>
            <w:r>
              <w:rPr/>
              <w:t>X</w:t>
            </w:r>
          </w:p>
        </w:tc>
      </w:tr>
      <w:tr>
        <w:trPr/>
        <w:tc>
          <w:tcPr>
            <w:tcW w:w="2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Life and Disability Insurance(2)</w:t>
            </w:r>
          </w:p>
        </w:tc>
        <w:tc>
          <w:tcPr>
            <w:tcW w:w="46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2211" w:type="dxa"/>
            <w:tcBorders/>
            <w:shd w:fill="CCEEFF" w:val="clear"/>
            <w:vAlign w:val="bottom"/>
          </w:tcPr>
          <w:p>
            <w:pPr>
              <w:pStyle w:val="TableContents"/>
              <w:bidi w:val="0"/>
              <w:spacing w:before="0" w:after="283"/>
              <w:jc w:val="center"/>
              <w:rPr/>
            </w:pPr>
            <w:r>
              <w:rPr/>
              <w:t>X</w:t>
            </w:r>
          </w:p>
        </w:tc>
      </w:tr>
      <w:tr>
        <w:trPr/>
        <w:tc>
          <w:tcPr>
            <w:tcW w:w="2028" w:type="dxa"/>
            <w:tcBorders/>
          </w:tcPr>
          <w:p>
            <w:pPr>
              <w:pStyle w:val="TableContents"/>
              <w:bidi w:val="0"/>
              <w:spacing w:before="0" w:after="0"/>
              <w:jc w:val="left"/>
              <w:rPr>
                <w:rFonts w:ascii="Times New Roman" w:hAnsi="Times New Roman"/>
                <w:sz w:val="20"/>
              </w:rPr>
            </w:pPr>
            <w:r>
              <w:rPr>
                <w:rFonts w:ascii="Times New Roman" w:hAnsi="Times New Roman"/>
                <w:sz w:val="20"/>
              </w:rPr>
              <w:t>Flexible Spending Accounts</w:t>
            </w:r>
          </w:p>
        </w:tc>
        <w:tc>
          <w:tcPr>
            <w:tcW w:w="465" w:type="dxa"/>
            <w:tcBorders/>
            <w:vAlign w:val="bottom"/>
          </w:tcPr>
          <w:p>
            <w:pPr>
              <w:pStyle w:val="TableContents"/>
              <w:bidi w:val="0"/>
              <w:spacing w:before="0" w:after="283"/>
              <w:jc w:val="left"/>
              <w:rPr/>
            </w:pPr>
            <w:r>
              <w:rPr/>
              <w:t>  </w:t>
            </w:r>
          </w:p>
        </w:tc>
        <w:tc>
          <w:tcPr>
            <w:tcW w:w="1870"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X</w:t>
            </w:r>
          </w:p>
        </w:tc>
        <w:tc>
          <w:tcPr>
            <w:tcW w:w="465" w:type="dxa"/>
            <w:tcBorders/>
            <w:vAlign w:val="bottom"/>
          </w:tcPr>
          <w:p>
            <w:pPr>
              <w:pStyle w:val="TableContents"/>
              <w:bidi w:val="0"/>
              <w:spacing w:before="0" w:after="283"/>
              <w:jc w:val="left"/>
              <w:rPr/>
            </w:pPr>
            <w:r>
              <w:rPr/>
              <w:t>  </w:t>
            </w:r>
          </w:p>
        </w:tc>
        <w:tc>
          <w:tcPr>
            <w:tcW w:w="2211" w:type="dxa"/>
            <w:tcBorders/>
            <w:vAlign w:val="bottom"/>
          </w:tcPr>
          <w:p>
            <w:pPr>
              <w:pStyle w:val="TableContents"/>
              <w:bidi w:val="0"/>
              <w:spacing w:before="0" w:after="283"/>
              <w:jc w:val="center"/>
              <w:rPr/>
            </w:pPr>
            <w:r>
              <w:rPr/>
              <w:t>X</w:t>
            </w:r>
          </w:p>
        </w:tc>
      </w:tr>
      <w:tr>
        <w:trPr/>
        <w:tc>
          <w:tcPr>
            <w:tcW w:w="2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401(k) Plan</w:t>
            </w:r>
          </w:p>
        </w:tc>
        <w:tc>
          <w:tcPr>
            <w:tcW w:w="465" w:type="dxa"/>
            <w:tcBorders/>
            <w:shd w:fill="CCEEFF" w:val="clear"/>
            <w:vAlign w:val="bottom"/>
          </w:tcPr>
          <w:p>
            <w:pPr>
              <w:pStyle w:val="TableContents"/>
              <w:bidi w:val="0"/>
              <w:spacing w:before="0" w:after="283"/>
              <w:jc w:val="left"/>
              <w:rPr/>
            </w:pPr>
            <w:r>
              <w:rPr/>
              <w:t>  </w:t>
            </w:r>
          </w:p>
        </w:tc>
        <w:tc>
          <w:tcPr>
            <w:tcW w:w="1870"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X</w:t>
            </w:r>
          </w:p>
        </w:tc>
        <w:tc>
          <w:tcPr>
            <w:tcW w:w="465" w:type="dxa"/>
            <w:tcBorders/>
            <w:shd w:fill="CCEEFF" w:val="clear"/>
            <w:vAlign w:val="bottom"/>
          </w:tcPr>
          <w:p>
            <w:pPr>
              <w:pStyle w:val="TableContents"/>
              <w:bidi w:val="0"/>
              <w:spacing w:before="0" w:after="283"/>
              <w:jc w:val="left"/>
              <w:rPr/>
            </w:pPr>
            <w:r>
              <w:rPr/>
              <w:t>  </w:t>
            </w:r>
          </w:p>
        </w:tc>
        <w:tc>
          <w:tcPr>
            <w:tcW w:w="2211" w:type="dxa"/>
            <w:tcBorders/>
            <w:shd w:fill="CCEEFF" w:val="clear"/>
            <w:vAlign w:val="bottom"/>
          </w:tcPr>
          <w:p>
            <w:pPr>
              <w:pStyle w:val="TableContents"/>
              <w:bidi w:val="0"/>
              <w:spacing w:before="0" w:after="283"/>
              <w:jc w:val="center"/>
              <w:rPr/>
            </w:pPr>
            <w:r>
              <w:rPr/>
              <w:t>X</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Fiscal 2025, each of our NEOs had a supplemental medical insurance policy that pays for all of the NEO’s eligible out-of-pocket medical, dental and vision expenses.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NEOs, the Company’s Vice Presidents and certain other officers have Company-paid basic life and accidental death and dismemberment insurance in an amount equal to 1.5 times their base salary, up to $300,000. All other employees have Company-paid basic life and accidental death and dismemberment insurance in an amount equal to 1.5 times their base salary, up to $100,000. In addition, the NEOs, the Company’s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believes it should provide limited perquisites for its executive officers. As a result, the Company has historically provided nominal perquisites. The following table generally illustrates the perquisites we do (and do not) provide and identifies those employees who may be eligible to receive them: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0"/>
        <w:gridCol w:w="302"/>
        <w:gridCol w:w="1871"/>
        <w:gridCol w:w="249"/>
        <w:gridCol w:w="1884"/>
        <w:gridCol w:w="302"/>
        <w:gridCol w:w="3037"/>
      </w:tblGrid>
      <w:tr>
        <w:trPr/>
        <w:tc>
          <w:tcPr>
            <w:tcW w:w="2560"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37" w:type="dxa"/>
            <w:tcBorders/>
            <w:vAlign w:val="center"/>
          </w:tcPr>
          <w:p>
            <w:pPr>
              <w:pStyle w:val="TableContents"/>
              <w:bidi w:val="0"/>
              <w:spacing w:before="0" w:after="283"/>
              <w:jc w:val="left"/>
              <w:rPr>
                <w:sz w:val="4"/>
                <w:szCs w:val="4"/>
              </w:rPr>
            </w:pPr>
            <w:r>
              <w:rPr>
                <w:sz w:val="4"/>
                <w:szCs w:val="4"/>
              </w:rPr>
            </w:r>
          </w:p>
        </w:tc>
      </w:tr>
      <w:tr>
        <w:trPr/>
        <w:tc>
          <w:tcPr>
            <w:tcW w:w="25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Type of Perquisite</w:t>
            </w:r>
          </w:p>
        </w:tc>
        <w:tc>
          <w:tcPr>
            <w:tcW w:w="302" w:type="dxa"/>
            <w:tcBorders/>
            <w:vAlign w:val="bottom"/>
          </w:tcPr>
          <w:p>
            <w:pPr>
              <w:pStyle w:val="TableContents"/>
              <w:bidi w:val="0"/>
              <w:spacing w:before="0" w:after="283"/>
              <w:jc w:val="left"/>
              <w:rPr/>
            </w:pPr>
            <w:r>
              <w:rPr/>
              <w:t>  </w:t>
            </w:r>
          </w:p>
        </w:tc>
        <w:tc>
          <w:tcPr>
            <w:tcW w:w="1871" w:type="dxa"/>
            <w:tcBorders>
              <w:bottom w:val="single" w:sz="8" w:space="0" w:color="000000"/>
            </w:tcBorders>
            <w:tcMar>
              <w:bottom w:w="28" w:type="dxa"/>
            </w:tcMar>
            <w:vAlign w:val="bottom"/>
          </w:tcPr>
          <w:p>
            <w:pPr>
              <w:pStyle w:val="TableContents"/>
              <w:bidi w:val="0"/>
              <w:spacing w:before="0" w:after="283"/>
              <w:jc w:val="center"/>
              <w:rPr>
                <w:b/>
              </w:rPr>
            </w:pPr>
            <w:r>
              <w:rPr>
                <w:b/>
              </w:rPr>
              <w:t>Executive Officers</w:t>
              <w:br/>
              <w:t>(including NEOs)</w:t>
            </w:r>
          </w:p>
        </w:tc>
        <w:tc>
          <w:tcPr>
            <w:tcW w:w="249" w:type="dxa"/>
            <w:tcBorders/>
            <w:vAlign w:val="bottom"/>
          </w:tcPr>
          <w:p>
            <w:pPr>
              <w:pStyle w:val="TableContents"/>
              <w:bidi w:val="0"/>
              <w:spacing w:before="0" w:after="283"/>
              <w:jc w:val="left"/>
              <w:rPr/>
            </w:pPr>
            <w:r>
              <w:rPr/>
              <w:t> </w:t>
            </w:r>
          </w:p>
        </w:tc>
        <w:tc>
          <w:tcPr>
            <w:tcW w:w="1884" w:type="dxa"/>
            <w:tcBorders>
              <w:bottom w:val="single" w:sz="8" w:space="0" w:color="000000"/>
            </w:tcBorders>
            <w:tcMar>
              <w:bottom w:w="28" w:type="dxa"/>
            </w:tcMar>
            <w:vAlign w:val="bottom"/>
          </w:tcPr>
          <w:p>
            <w:pPr>
              <w:pStyle w:val="TableContents"/>
              <w:bidi w:val="0"/>
              <w:spacing w:before="0" w:after="283"/>
              <w:jc w:val="center"/>
              <w:rPr>
                <w:b/>
              </w:rPr>
            </w:pPr>
            <w:r>
              <w:rPr>
                <w:b/>
              </w:rPr>
              <w:t>Certain Managers</w:t>
            </w:r>
          </w:p>
        </w:tc>
        <w:tc>
          <w:tcPr>
            <w:tcW w:w="302" w:type="dxa"/>
            <w:tcBorders/>
            <w:vAlign w:val="bottom"/>
          </w:tcPr>
          <w:p>
            <w:pPr>
              <w:pStyle w:val="TableContents"/>
              <w:bidi w:val="0"/>
              <w:spacing w:before="0" w:after="283"/>
              <w:jc w:val="left"/>
              <w:rPr/>
            </w:pPr>
            <w:r>
              <w:rPr/>
              <w:t>  </w:t>
            </w:r>
          </w:p>
        </w:tc>
        <w:tc>
          <w:tcPr>
            <w:tcW w:w="3037" w:type="dxa"/>
            <w:tcBorders>
              <w:bottom w:val="single" w:sz="8" w:space="0" w:color="000000"/>
            </w:tcBorders>
            <w:tcMar>
              <w:bottom w:w="28" w:type="dxa"/>
            </w:tcMar>
            <w:vAlign w:val="bottom"/>
          </w:tcPr>
          <w:p>
            <w:pPr>
              <w:pStyle w:val="TableContents"/>
              <w:bidi w:val="0"/>
              <w:spacing w:before="0" w:after="283"/>
              <w:jc w:val="center"/>
              <w:rPr>
                <w:b/>
              </w:rPr>
            </w:pPr>
            <w:r>
              <w:rPr>
                <w:b/>
              </w:rPr>
              <w:t>Certain Full-Time Employees</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Company Vehicle</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X</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X</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Vehicle Allowance</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Not offered</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X</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X</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Use of Company Aircraft(1)</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X</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Not offered</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Medical Insurance</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X</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Not offered</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Not offered</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Country Club Memberships</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Not offered</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Not offered</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Dwellings for Personal Use</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Not offered</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Not offered</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Not offered</w:t>
            </w:r>
          </w:p>
        </w:tc>
      </w:tr>
      <w:tr>
        <w:trPr/>
        <w:tc>
          <w:tcPr>
            <w:tcW w:w="2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Security Services</w:t>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center"/>
              <w:rPr/>
            </w:pPr>
            <w:r>
              <w:rPr/>
              <w:t>Not offered</w:t>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Not offered</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Executive Retirement Program (SERP)</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Not offered</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Not offered</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Not offered</w:t>
            </w:r>
          </w:p>
        </w:tc>
      </w:tr>
      <w:tr>
        <w:trPr/>
        <w:tc>
          <w:tcPr>
            <w:tcW w:w="2560" w:type="dxa"/>
            <w:tcBorders/>
            <w:shd w:fill="CCEEFF" w:val="clear"/>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1884" w:type="dxa"/>
            <w:tcBorders/>
            <w:shd w:fill="CCEEFF" w:val="clear"/>
            <w:vAlign w:val="bottom"/>
          </w:tcPr>
          <w:p>
            <w:pPr>
              <w:pStyle w:val="TableContents"/>
              <w:bidi w:val="0"/>
              <w:spacing w:before="0" w:after="283"/>
              <w:jc w:val="center"/>
              <w:rPr/>
            </w:pPr>
            <w:r>
              <w:rPr/>
              <w:t>Not offered</w:t>
            </w:r>
          </w:p>
        </w:tc>
        <w:tc>
          <w:tcPr>
            <w:tcW w:w="302" w:type="dxa"/>
            <w:tcBorders/>
            <w:shd w:fill="CCEEFF" w:val="clear"/>
            <w:vAlign w:val="bottom"/>
          </w:tcPr>
          <w:p>
            <w:pPr>
              <w:pStyle w:val="TableContents"/>
              <w:bidi w:val="0"/>
              <w:spacing w:before="0" w:after="283"/>
              <w:jc w:val="left"/>
              <w:rPr/>
            </w:pPr>
            <w:r>
              <w:rPr/>
              <w:t>  </w:t>
            </w:r>
          </w:p>
        </w:tc>
        <w:tc>
          <w:tcPr>
            <w:tcW w:w="3037" w:type="dxa"/>
            <w:tcBorders/>
            <w:shd w:fill="CCEEFF" w:val="clear"/>
            <w:vAlign w:val="bottom"/>
          </w:tcPr>
          <w:p>
            <w:pPr>
              <w:pStyle w:val="TableContents"/>
              <w:bidi w:val="0"/>
              <w:spacing w:before="0" w:after="283"/>
              <w:jc w:val="center"/>
              <w:rPr/>
            </w:pPr>
            <w:r>
              <w:rPr/>
              <w:t>Not offered</w:t>
            </w:r>
          </w:p>
        </w:tc>
      </w:tr>
      <w:tr>
        <w:trPr/>
        <w:tc>
          <w:tcPr>
            <w:tcW w:w="2560"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 Plan Matching Contribution</w:t>
            </w:r>
          </w:p>
        </w:tc>
        <w:tc>
          <w:tcPr>
            <w:tcW w:w="302"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center"/>
              <w:rPr/>
            </w:pPr>
            <w:r>
              <w:rPr/>
              <w:t>Not offered(2)</w:t>
            </w:r>
          </w:p>
        </w:tc>
        <w:tc>
          <w:tcPr>
            <w:tcW w:w="249" w:type="dxa"/>
            <w:tcBorders/>
            <w:vAlign w:val="bottom"/>
          </w:tcPr>
          <w:p>
            <w:pPr>
              <w:pStyle w:val="TableContents"/>
              <w:bidi w:val="0"/>
              <w:spacing w:before="0" w:after="283"/>
              <w:jc w:val="left"/>
              <w:rPr/>
            </w:pPr>
            <w:r>
              <w:rPr/>
              <w:t> </w:t>
            </w:r>
          </w:p>
        </w:tc>
        <w:tc>
          <w:tcPr>
            <w:tcW w:w="1884" w:type="dxa"/>
            <w:tcBorders/>
            <w:vAlign w:val="bottom"/>
          </w:tcPr>
          <w:p>
            <w:pPr>
              <w:pStyle w:val="TableContents"/>
              <w:bidi w:val="0"/>
              <w:spacing w:before="0" w:after="283"/>
              <w:jc w:val="center"/>
              <w:rPr/>
            </w:pPr>
            <w:r>
              <w:rPr/>
              <w:t>Not offered</w:t>
            </w:r>
          </w:p>
        </w:tc>
        <w:tc>
          <w:tcPr>
            <w:tcW w:w="302" w:type="dxa"/>
            <w:tcBorders/>
            <w:vAlign w:val="bottom"/>
          </w:tcPr>
          <w:p>
            <w:pPr>
              <w:pStyle w:val="TableContents"/>
              <w:bidi w:val="0"/>
              <w:spacing w:before="0" w:after="283"/>
              <w:jc w:val="left"/>
              <w:rPr/>
            </w:pPr>
            <w:r>
              <w:rPr/>
              <w:t>  </w:t>
            </w:r>
          </w:p>
        </w:tc>
        <w:tc>
          <w:tcPr>
            <w:tcW w:w="3037" w:type="dxa"/>
            <w:tcBorders/>
            <w:vAlign w:val="bottom"/>
          </w:tcPr>
          <w:p>
            <w:pPr>
              <w:pStyle w:val="TableContents"/>
              <w:bidi w:val="0"/>
              <w:spacing w:before="0" w:after="283"/>
              <w:jc w:val="center"/>
              <w:rPr/>
            </w:pPr>
            <w:r>
              <w:rPr/>
              <w:t>Not offered</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Corporate Aircraft Use Policy permits the use of our aircraft for business purposes only, other than with respect to a personal use allowance of up to $50,000 to Mr. Hornbeck. The value of personal use of the aircraft is determined by the incremental cost to the Company for such use, which is calculated based on a contracted hourly rate billed to the Company per hour of operation. Fixed costs that do not change based on usage are not included.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Deferred Compensation Plan was adopted by the Board of Directors in 2007. However, no matching provision has been authorized under the Deferred Compensation Plan, and, to date, no NEO has availed himself of participation therein.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and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a strong, experienced management team is essential to the best interests of the Company and our shareholders. As noted above, we have entered into EAs with the NEOs in order to, among other things, minimize employment security concerns, including those arising in the course of negotiating and completing a significant transaction. The EAs provide for severance benefits, which are payable only if the NEO is terminated by the Company without “cause” or the NEO resigns for “good reason,” in each case, whether or not in connection with a change of control; these benefits are enumerated and quantified in the section captioned “Potential Payments Upon Termination or Change of 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162(m)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Internal Revenue Code limits us to a deduction for federal income tax purposes of no more than $1 million of compensation paid to certain executive officers in a taxable year. Although we are mindful of the benefits of tax deductibility when determining executive compensation, we may approve compensation that will not be fully-deductible in order to ensure competitive levels of total compensation for our executive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409A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Another section of the Code, Section 409A, affects the manner in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Code Section 280G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our NEOs is entitled to any gross-up with respect to any excise taxes that may be imposed under Code Section 4999, and as noted in the “Narrative Description to the Summary Compensation Table and the Grants of Plan-Based Awards Table for the 2025 Fiscal Year,” each NEO’s EA provides for a “best-net” cutback.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 Year-End Actions Affecting Compensation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in March of each year, the compensation committee determines the cash incentive compensation and/or bonuses for the NEOs for services provided during the previous fiscal year. The compensation committee also determines equity incentive compensation awards for the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NEOs, are addressed by the Board of Directors in its final approval of the Company’s annual budget. </w:t>
      </w:r>
    </w:p>
    <w:p>
      <w:pPr>
        <w:pStyle w:val="TextBody"/>
        <w:bidi w:val="0"/>
        <w:spacing w:before="360" w:after="0"/>
        <w:jc w:val="left"/>
        <w:rPr>
          <w:rFonts w:ascii="Times New Roman" w:hAnsi="Times New Roman"/>
          <w:b/>
          <w:i/>
          <w:sz w:val="20"/>
        </w:rPr>
      </w:pPr>
      <w:r>
        <w:rPr>
          <w:rFonts w:ascii="Times New Roman" w:hAnsi="Times New Roman"/>
          <w:b/>
          <w:i/>
          <w:sz w:val="20"/>
        </w:rPr>
        <w:t xml:space="preserve">MIP Buybacks </w:t>
      </w:r>
    </w:p>
    <w:p>
      <w:pPr>
        <w:pStyle w:val="TextBody"/>
        <w:bidi w:val="0"/>
        <w:spacing w:before="120" w:after="0"/>
        <w:jc w:val="left"/>
        <w:rPr>
          <w:rFonts w:ascii="Times New Roman" w:hAnsi="Times New Roman"/>
          <w:sz w:val="20"/>
        </w:rPr>
      </w:pPr>
      <w:r>
        <w:rPr>
          <w:rFonts w:ascii="Times New Roman" w:hAnsi="Times New Roman"/>
          <w:sz w:val="20"/>
        </w:rPr>
        <w:t xml:space="preserve">Concurrent with the 2025 Tender Offer, we accelerated the vesting of certain stock options, restricted stock units and performance stock units granted to employees and non-employee directors, including the NEOs, under the 2020 Management Incentive Plan and cashed out the shares of common stock underlying such accelerated stock options (net of the exercise price), restricted stock units and performance stock units at a price equal to $75.05 per share. See “Option Exercises and Stock Vested in the 2025 Fiscal Year” below for more information with respect to the NEOs’ equity awards that were accelerated and cashed out in connection with the MIP buyback.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Risk Assessment </w:t>
      </w:r>
    </w:p>
    <w:p>
      <w:pPr>
        <w:pStyle w:val="TextBody"/>
        <w:bidi w:val="0"/>
        <w:spacing w:before="120" w:after="0"/>
        <w:jc w:val="left"/>
        <w:rPr>
          <w:rFonts w:ascii="Times New Roman" w:hAnsi="Times New Roman"/>
          <w:sz w:val="20"/>
        </w:rPr>
      </w:pPr>
      <w:r>
        <w:rPr>
          <w:rFonts w:ascii="Times New Roman" w:hAnsi="Times New Roman"/>
          <w:sz w:val="20"/>
        </w:rPr>
        <w:t xml:space="preserve">Once a publicly traded company, we will be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any of our incentive compensation plans, programs or arrangements create risks that are reasonably likely to have a material adverse effect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annual compensation awarded to or earned by our NEOs for Fiscal 2025 and the fiscal years ended December 31, 2024 (“Fiscal 2024”) and December 31, 2023 (“Fiscal 2023”). </w:t>
      </w:r>
    </w:p>
    <w:p>
      <w:pPr>
        <w:pStyle w:val="TextBody"/>
        <w:bidi w:val="0"/>
        <w:spacing w:before="0" w:after="0"/>
        <w:jc w:val="left"/>
        <w:rPr/>
      </w:pPr>
      <w:r>
        <w:rPr/>
        <w:t> </w:t>
      </w:r>
    </w:p>
    <w:tbl>
      <w:tblPr>
        <w:tblW w:w="10800" w:type="dxa"/>
        <w:jc w:val="center"/>
        <w:tblInd w:w="0" w:type="dxa"/>
        <w:tblLayout w:type="fixed"/>
        <w:tblCellMar>
          <w:top w:w="0" w:type="dxa"/>
          <w:left w:w="0" w:type="dxa"/>
          <w:bottom w:w="0" w:type="dxa"/>
          <w:right w:w="0" w:type="dxa"/>
        </w:tblCellMar>
      </w:tblPr>
      <w:tblGrid>
        <w:gridCol w:w="1460"/>
        <w:gridCol w:w="60"/>
        <w:gridCol w:w="60"/>
        <w:gridCol w:w="500"/>
        <w:gridCol w:w="60"/>
        <w:gridCol w:w="60"/>
        <w:gridCol w:w="60"/>
        <w:gridCol w:w="800"/>
        <w:gridCol w:w="60"/>
        <w:gridCol w:w="60"/>
        <w:gridCol w:w="60"/>
        <w:gridCol w:w="800"/>
        <w:gridCol w:w="60"/>
        <w:gridCol w:w="60"/>
        <w:gridCol w:w="60"/>
        <w:gridCol w:w="980"/>
        <w:gridCol w:w="60"/>
        <w:gridCol w:w="60"/>
        <w:gridCol w:w="60"/>
        <w:gridCol w:w="980"/>
        <w:gridCol w:w="60"/>
        <w:gridCol w:w="60"/>
        <w:gridCol w:w="103"/>
        <w:gridCol w:w="1387"/>
        <w:gridCol w:w="60"/>
        <w:gridCol w:w="60"/>
        <w:gridCol w:w="120"/>
        <w:gridCol w:w="1370"/>
        <w:gridCol w:w="60"/>
        <w:gridCol w:w="60"/>
        <w:gridCol w:w="60"/>
        <w:gridCol w:w="980"/>
        <w:gridCol w:w="60"/>
      </w:tblGrid>
      <w:tr>
        <w:trPr/>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w:t>
              <w:br/>
              <w:t>Position</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w:t>
              <w:br/>
              <w:t>Plan</w:t>
              <w:br/>
              <w:t>Compensation</w:t>
              <w:b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750,000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1,102,209</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1,891,776</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92,204</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94,467</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3,930,656</w:t>
            </w:r>
          </w:p>
        </w:tc>
        <w:tc>
          <w:tcPr>
            <w:tcW w:w="60" w:type="dxa"/>
            <w:tcBorders/>
            <w:shd w:fill="CCEEFF" w:val="clear"/>
          </w:tcPr>
          <w:p>
            <w:pPr>
              <w:pStyle w:val="TableContents"/>
              <w:bidi w:val="0"/>
              <w:spacing w:before="0" w:after="283"/>
              <w:jc w:val="left"/>
              <w:rPr/>
            </w:pPr>
            <w:r>
              <w:rPr/>
              <w:t> </w:t>
            </w:r>
          </w:p>
        </w:tc>
      </w:tr>
      <w:tr>
        <w:trPr/>
        <w:tc>
          <w:tcPr>
            <w:tcW w:w="1460" w:type="dxa"/>
            <w:vMerge w:val="restart"/>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Chairman, President &amp; Chief Executive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2024</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750,000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200,000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825,000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93,452</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1,868,452</w:t>
            </w:r>
          </w:p>
        </w:tc>
        <w:tc>
          <w:tcPr>
            <w:tcW w:w="60" w:type="dxa"/>
            <w:tcBorders/>
            <w:shd w:fill="CCEEFF" w:val="clear"/>
          </w:tcPr>
          <w:p>
            <w:pPr>
              <w:pStyle w:val="TableContents"/>
              <w:bidi w:val="0"/>
              <w:spacing w:before="0" w:after="283"/>
              <w:jc w:val="left"/>
              <w:rPr/>
            </w:pPr>
            <w:r>
              <w:rPr/>
              <w:t> </w:t>
            </w:r>
          </w:p>
        </w:tc>
      </w:tr>
      <w:tr>
        <w:trPr/>
        <w:tc>
          <w:tcPr>
            <w:tcW w:w="146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750,000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6,054,243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885,000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66,242</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7,855,485</w:t>
            </w:r>
          </w:p>
        </w:tc>
        <w:tc>
          <w:tcPr>
            <w:tcW w:w="60" w:type="dxa"/>
            <w:tcBorders/>
            <w:shd w:fill="CCEEFF" w:val="clear"/>
          </w:tcPr>
          <w:p>
            <w:pPr>
              <w:pStyle w:val="TableContents"/>
              <w:bidi w:val="0"/>
              <w:spacing w:before="0" w:after="283"/>
              <w:jc w:val="left"/>
              <w:rPr/>
            </w:pPr>
            <w:r>
              <w:rPr/>
              <w:t> </w:t>
            </w:r>
          </w:p>
        </w:tc>
      </w:tr>
      <w:tr>
        <w:trPr/>
        <w:tc>
          <w:tcPr>
            <w:tcW w:w="146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5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c>
          <w:tcPr>
            <w:tcW w:w="138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sz w:val="4"/>
                <w:szCs w:val="4"/>
              </w:rPr>
            </w:pPr>
            <w:r>
              <w:rPr>
                <w:sz w:val="4"/>
                <w:szCs w:val="4"/>
              </w:rPr>
            </w:r>
          </w:p>
        </w:tc>
        <w:tc>
          <w:tcPr>
            <w:tcW w:w="13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r>
      <w:tr>
        <w:trPr>
          <w:trHeight w:val="120" w:hRule="atLeast"/>
        </w:trPr>
        <w:tc>
          <w:tcPr>
            <w:tcW w:w="146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424,708</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728,985</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34,576</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70" w:type="dxa"/>
            <w:tcBorders/>
          </w:tcPr>
          <w:p>
            <w:pPr>
              <w:pStyle w:val="TableContents"/>
              <w:bidi w:val="0"/>
              <w:spacing w:before="0" w:after="283"/>
              <w:jc w:val="right"/>
              <w:rPr/>
            </w:pPr>
            <w:r>
              <w:rPr/>
              <w:t>53,618</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1,641,888</w:t>
            </w:r>
          </w:p>
        </w:tc>
        <w:tc>
          <w:tcPr>
            <w:tcW w:w="60" w:type="dxa"/>
            <w:tcBorders/>
          </w:tcPr>
          <w:p>
            <w:pPr>
              <w:pStyle w:val="TableContents"/>
              <w:bidi w:val="0"/>
              <w:spacing w:before="0" w:after="283"/>
              <w:jc w:val="left"/>
              <w:rPr/>
            </w:pPr>
            <w:r>
              <w:rPr/>
              <w:t> </w:t>
            </w:r>
          </w:p>
        </w:tc>
      </w:tr>
      <w:tr>
        <w:trPr/>
        <w:tc>
          <w:tcPr>
            <w:tcW w:w="1460" w:type="dxa"/>
            <w:vMerge w:val="restart"/>
            <w:tcBorders/>
          </w:tcPr>
          <w:p>
            <w:pPr>
              <w:pStyle w:val="TableContents"/>
              <w:bidi w:val="0"/>
              <w:spacing w:before="0" w:after="0"/>
              <w:jc w:val="left"/>
              <w:rPr>
                <w:rFonts w:ascii="Times New Roman" w:hAnsi="Times New Roman"/>
                <w:i/>
                <w:sz w:val="20"/>
              </w:rPr>
            </w:pPr>
            <w:r>
              <w:rPr>
                <w:rFonts w:ascii="Times New Roman" w:hAnsi="Times New Roman"/>
                <w:i/>
                <w:sz w:val="20"/>
              </w:rPr>
              <w:t>EVP &amp; Chief Financial Officer</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2024</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200,000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440,000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70" w:type="dxa"/>
            <w:tcBorders/>
          </w:tcPr>
          <w:p>
            <w:pPr>
              <w:pStyle w:val="TableContents"/>
              <w:bidi w:val="0"/>
              <w:spacing w:before="0" w:after="283"/>
              <w:jc w:val="right"/>
              <w:rPr/>
            </w:pPr>
            <w:r>
              <w:rPr/>
              <w:t>51,919</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1,091,919</w:t>
            </w:r>
          </w:p>
        </w:tc>
        <w:tc>
          <w:tcPr>
            <w:tcW w:w="60" w:type="dxa"/>
            <w:tcBorders/>
          </w:tcPr>
          <w:p>
            <w:pPr>
              <w:pStyle w:val="TableContents"/>
              <w:bidi w:val="0"/>
              <w:spacing w:before="0" w:after="283"/>
              <w:jc w:val="left"/>
              <w:rPr/>
            </w:pPr>
            <w:r>
              <w:rPr/>
              <w:t> </w:t>
            </w:r>
          </w:p>
        </w:tc>
      </w:tr>
      <w:tr>
        <w:trPr/>
        <w:tc>
          <w:tcPr>
            <w:tcW w:w="146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100,000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2,522,664</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472,000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70" w:type="dxa"/>
            <w:tcBorders/>
          </w:tcPr>
          <w:p>
            <w:pPr>
              <w:pStyle w:val="TableContents"/>
              <w:bidi w:val="0"/>
              <w:spacing w:before="0" w:after="283"/>
              <w:jc w:val="right"/>
              <w:rPr/>
            </w:pPr>
            <w:r>
              <w:rPr/>
              <w:t>52,173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3,546,837</w:t>
            </w:r>
          </w:p>
        </w:tc>
        <w:tc>
          <w:tcPr>
            <w:tcW w:w="60" w:type="dxa"/>
            <w:tcBorders/>
          </w:tcPr>
          <w:p>
            <w:pPr>
              <w:pStyle w:val="TableContents"/>
              <w:bidi w:val="0"/>
              <w:spacing w:before="0" w:after="283"/>
              <w:jc w:val="left"/>
              <w:rPr/>
            </w:pPr>
            <w:r>
              <w:rPr/>
              <w:t> </w:t>
            </w:r>
          </w:p>
        </w:tc>
      </w:tr>
      <w:tr>
        <w:trPr>
          <w:trHeight w:val="120" w:hRule="atLeast"/>
        </w:trPr>
        <w:tc>
          <w:tcPr>
            <w:tcW w:w="146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424,708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728,985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34,576</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56,617</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1,644,887</w:t>
            </w:r>
          </w:p>
        </w:tc>
        <w:tc>
          <w:tcPr>
            <w:tcW w:w="60" w:type="dxa"/>
            <w:tcBorders/>
            <w:shd w:fill="CCEEFF" w:val="clear"/>
          </w:tcPr>
          <w:p>
            <w:pPr>
              <w:pStyle w:val="TableContents"/>
              <w:bidi w:val="0"/>
              <w:spacing w:before="0" w:after="283"/>
              <w:jc w:val="left"/>
              <w:rPr/>
            </w:pPr>
            <w:r>
              <w:rPr/>
              <w:t> </w:t>
            </w:r>
          </w:p>
        </w:tc>
      </w:tr>
      <w:tr>
        <w:trPr/>
        <w:tc>
          <w:tcPr>
            <w:tcW w:w="1460" w:type="dxa"/>
            <w:vMerge w:val="restart"/>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EVP, General Counsel, &amp; Corporate Secretary(7)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2024</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200,000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440,000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51,938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1,091,938</w:t>
            </w:r>
          </w:p>
        </w:tc>
        <w:tc>
          <w:tcPr>
            <w:tcW w:w="60" w:type="dxa"/>
            <w:tcBorders/>
            <w:shd w:fill="CCEEFF" w:val="clear"/>
          </w:tcPr>
          <w:p>
            <w:pPr>
              <w:pStyle w:val="TableContents"/>
              <w:bidi w:val="0"/>
              <w:spacing w:before="0" w:after="283"/>
              <w:jc w:val="left"/>
              <w:rPr/>
            </w:pPr>
            <w:r>
              <w:rPr/>
              <w:t> </w:t>
            </w:r>
          </w:p>
        </w:tc>
      </w:tr>
      <w:tr>
        <w:trPr/>
        <w:tc>
          <w:tcPr>
            <w:tcW w:w="146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2,522,610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472,000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50,518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3,545,128</w:t>
            </w:r>
          </w:p>
        </w:tc>
        <w:tc>
          <w:tcPr>
            <w:tcW w:w="60" w:type="dxa"/>
            <w:tcBorders/>
            <w:shd w:fill="CCEEFF" w:val="clear"/>
          </w:tcPr>
          <w:p>
            <w:pPr>
              <w:pStyle w:val="TableContents"/>
              <w:bidi w:val="0"/>
              <w:spacing w:before="0" w:after="283"/>
              <w:jc w:val="left"/>
              <w:rPr/>
            </w:pPr>
            <w:r>
              <w:rPr/>
              <w:t> </w:t>
            </w:r>
          </w:p>
        </w:tc>
      </w:tr>
      <w:tr>
        <w:trPr/>
        <w:tc>
          <w:tcPr>
            <w:tcW w:w="146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5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c>
          <w:tcPr>
            <w:tcW w:w="138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sz w:val="4"/>
                <w:szCs w:val="4"/>
              </w:rPr>
            </w:pPr>
            <w:r>
              <w:rPr>
                <w:sz w:val="4"/>
                <w:szCs w:val="4"/>
              </w:rPr>
            </w:r>
          </w:p>
        </w:tc>
        <w:tc>
          <w:tcPr>
            <w:tcW w:w="13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r>
      <w:tr>
        <w:trPr/>
        <w:tc>
          <w:tcPr>
            <w:tcW w:w="146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lineRule="atLeast" w:line="142" w:before="0" w:after="0"/>
              <w:jc w:val="left"/>
              <w:rPr/>
            </w:pPr>
            <w:r>
              <w:rPr/>
              <w:t> </w:t>
            </w:r>
          </w:p>
        </w:tc>
        <w:tc>
          <w:tcPr>
            <w:tcW w:w="500" w:type="dxa"/>
            <w:tcBorders/>
            <w:shd w:fill="CCEEFF" w:val="clear"/>
          </w:tcPr>
          <w:p>
            <w:pPr>
              <w:pStyle w:val="TableContents"/>
              <w:bidi w:val="0"/>
              <w:spacing w:lineRule="atLeast" w:line="142" w:before="0" w:after="0"/>
              <w:jc w:val="right"/>
              <w:rPr/>
            </w:pPr>
            <w:r>
              <w:rPr/>
              <w:t> </w:t>
            </w:r>
          </w:p>
        </w:tc>
        <w:tc>
          <w:tcPr>
            <w:tcW w:w="60" w:type="dxa"/>
            <w:tcBorders/>
            <w:shd w:fill="CCEEFF" w:val="clear"/>
          </w:tcPr>
          <w:p>
            <w:pPr>
              <w:pStyle w:val="TableContents"/>
              <w:bidi w:val="0"/>
              <w:spacing w:lineRule="atLeast" w:line="142"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c>
          <w:tcPr>
            <w:tcW w:w="138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sz w:val="4"/>
                <w:szCs w:val="4"/>
              </w:rPr>
            </w:pPr>
            <w:r>
              <w:rPr>
                <w:sz w:val="4"/>
                <w:szCs w:val="4"/>
              </w:rPr>
            </w:r>
          </w:p>
        </w:tc>
        <w:tc>
          <w:tcPr>
            <w:tcW w:w="13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r>
      <w:tr>
        <w:trPr>
          <w:trHeight w:val="120" w:hRule="atLeast"/>
        </w:trPr>
        <w:tc>
          <w:tcPr>
            <w:tcW w:w="146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2025</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424,708</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728,985</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34,576</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70" w:type="dxa"/>
            <w:tcBorders/>
          </w:tcPr>
          <w:p>
            <w:pPr>
              <w:pStyle w:val="TableContents"/>
              <w:bidi w:val="0"/>
              <w:spacing w:before="0" w:after="283"/>
              <w:jc w:val="right"/>
              <w:rPr/>
            </w:pPr>
            <w:r>
              <w:rPr/>
              <w:t>50,761</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1,639,031</w:t>
            </w:r>
          </w:p>
        </w:tc>
        <w:tc>
          <w:tcPr>
            <w:tcW w:w="60" w:type="dxa"/>
            <w:tcBorders/>
          </w:tcPr>
          <w:p>
            <w:pPr>
              <w:pStyle w:val="TableContents"/>
              <w:bidi w:val="0"/>
              <w:spacing w:before="0" w:after="283"/>
              <w:jc w:val="left"/>
              <w:rPr/>
            </w:pPr>
            <w:r>
              <w:rPr/>
              <w:t> </w:t>
            </w:r>
          </w:p>
        </w:tc>
      </w:tr>
      <w:tr>
        <w:trPr/>
        <w:tc>
          <w:tcPr>
            <w:tcW w:w="1460" w:type="dxa"/>
            <w:vMerge w:val="restart"/>
            <w:tcBorders/>
          </w:tcPr>
          <w:p>
            <w:pPr>
              <w:pStyle w:val="TableContents"/>
              <w:bidi w:val="0"/>
              <w:spacing w:before="0" w:after="0"/>
              <w:jc w:val="left"/>
              <w:rPr>
                <w:rFonts w:ascii="Times New Roman" w:hAnsi="Times New Roman"/>
                <w:i/>
                <w:sz w:val="20"/>
              </w:rPr>
            </w:pPr>
            <w:r>
              <w:rPr>
                <w:rFonts w:ascii="Times New Roman" w:hAnsi="Times New Roman"/>
                <w:i/>
                <w:sz w:val="20"/>
              </w:rPr>
              <w:t>EVP &amp; Chief Commercial Officer(8)</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2024</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200,000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440,000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70" w:type="dxa"/>
            <w:tcBorders/>
          </w:tcPr>
          <w:p>
            <w:pPr>
              <w:pStyle w:val="TableContents"/>
              <w:bidi w:val="0"/>
              <w:spacing w:before="0" w:after="283"/>
              <w:jc w:val="right"/>
              <w:rPr/>
            </w:pPr>
            <w:r>
              <w:rPr/>
              <w:t>51,497</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1,091,497</w:t>
            </w:r>
          </w:p>
        </w:tc>
        <w:tc>
          <w:tcPr>
            <w:tcW w:w="60" w:type="dxa"/>
            <w:tcBorders/>
          </w:tcPr>
          <w:p>
            <w:pPr>
              <w:pStyle w:val="TableContents"/>
              <w:bidi w:val="0"/>
              <w:spacing w:before="0" w:after="283"/>
              <w:jc w:val="left"/>
              <w:rPr/>
            </w:pPr>
            <w:r>
              <w:rPr/>
              <w:t> </w:t>
            </w:r>
          </w:p>
        </w:tc>
      </w:tr>
      <w:tr>
        <w:trPr/>
        <w:tc>
          <w:tcPr>
            <w:tcW w:w="146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100,000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2,522,610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472,000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pPr>
            <w:r>
              <w:rPr/>
              <w:t> </w:t>
            </w:r>
          </w:p>
        </w:tc>
        <w:tc>
          <w:tcPr>
            <w:tcW w:w="1370" w:type="dxa"/>
            <w:tcBorders/>
          </w:tcPr>
          <w:p>
            <w:pPr>
              <w:pStyle w:val="TableContents"/>
              <w:bidi w:val="0"/>
              <w:spacing w:before="0" w:after="283"/>
              <w:jc w:val="right"/>
              <w:rPr/>
            </w:pPr>
            <w:r>
              <w:rPr/>
              <w:t>53,935</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3,548,545</w:t>
            </w:r>
          </w:p>
        </w:tc>
        <w:tc>
          <w:tcPr>
            <w:tcW w:w="60" w:type="dxa"/>
            <w:tcBorders/>
          </w:tcPr>
          <w:p>
            <w:pPr>
              <w:pStyle w:val="TableContents"/>
              <w:bidi w:val="0"/>
              <w:spacing w:before="0" w:after="283"/>
              <w:jc w:val="left"/>
              <w:rPr/>
            </w:pPr>
            <w:r>
              <w:rPr/>
              <w:t> </w:t>
            </w:r>
          </w:p>
        </w:tc>
      </w:tr>
      <w:tr>
        <w:trPr/>
        <w:tc>
          <w:tcPr>
            <w:tcW w:w="1460" w:type="dxa"/>
            <w:vMerge w:val="continue"/>
            <w:tcBorders/>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sz w:val="4"/>
                <w:szCs w:val="4"/>
              </w:rPr>
            </w:pPr>
            <w:r>
              <w:rPr>
                <w:sz w:val="4"/>
                <w:szCs w:val="4"/>
              </w:rPr>
            </w:r>
          </w:p>
        </w:tc>
        <w:tc>
          <w:tcPr>
            <w:tcW w:w="138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0" w:type="dxa"/>
            <w:tcBorders/>
          </w:tcPr>
          <w:p>
            <w:pPr>
              <w:pStyle w:val="TableContents"/>
              <w:bidi w:val="0"/>
              <w:spacing w:before="0" w:after="283"/>
              <w:jc w:val="left"/>
              <w:rPr>
                <w:sz w:val="4"/>
                <w:szCs w:val="4"/>
              </w:rPr>
            </w:pPr>
            <w:r>
              <w:rPr>
                <w:sz w:val="4"/>
                <w:szCs w:val="4"/>
              </w:rPr>
            </w:r>
          </w:p>
        </w:tc>
        <w:tc>
          <w:tcPr>
            <w:tcW w:w="137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rHeight w:val="120" w:hRule="atLeast"/>
        </w:trPr>
        <w:tc>
          <w:tcPr>
            <w:tcW w:w="146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4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424,708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728,985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34,576</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53,752</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1,642,022</w:t>
            </w:r>
          </w:p>
        </w:tc>
        <w:tc>
          <w:tcPr>
            <w:tcW w:w="60" w:type="dxa"/>
            <w:tcBorders/>
            <w:shd w:fill="CCEEFF" w:val="clear"/>
          </w:tcPr>
          <w:p>
            <w:pPr>
              <w:pStyle w:val="TableContents"/>
              <w:bidi w:val="0"/>
              <w:spacing w:before="0" w:after="283"/>
              <w:jc w:val="left"/>
              <w:rPr/>
            </w:pPr>
            <w:r>
              <w:rPr/>
              <w:t> </w:t>
            </w:r>
          </w:p>
        </w:tc>
      </w:tr>
      <w:tr>
        <w:trPr/>
        <w:tc>
          <w:tcPr>
            <w:tcW w:w="1460" w:type="dxa"/>
            <w:vMerge w:val="restart"/>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EVP—Military, Engineering, Repair &amp; Maintenance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2024</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200,000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440,000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53,419</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1,093,419</w:t>
            </w:r>
          </w:p>
        </w:tc>
        <w:tc>
          <w:tcPr>
            <w:tcW w:w="60" w:type="dxa"/>
            <w:tcBorders/>
            <w:shd w:fill="CCEEFF" w:val="clear"/>
          </w:tcPr>
          <w:p>
            <w:pPr>
              <w:pStyle w:val="TableContents"/>
              <w:bidi w:val="0"/>
              <w:spacing w:before="0" w:after="283"/>
              <w:jc w:val="left"/>
              <w:rPr/>
            </w:pPr>
            <w:r>
              <w:rPr/>
              <w:t> </w:t>
            </w:r>
          </w:p>
        </w:tc>
      </w:tr>
      <w:tr>
        <w:trPr/>
        <w:tc>
          <w:tcPr>
            <w:tcW w:w="146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100,000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2,522,664</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— </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spacing w:before="0" w:after="283"/>
              <w:jc w:val="right"/>
              <w:rPr/>
            </w:pPr>
            <w:r>
              <w:rPr/>
              <w:t>472,000</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pPr>
            <w:r>
              <w:rPr/>
              <w:t> </w:t>
            </w:r>
          </w:p>
        </w:tc>
        <w:tc>
          <w:tcPr>
            <w:tcW w:w="1370" w:type="dxa"/>
            <w:tcBorders/>
            <w:shd w:fill="CCEEFF" w:val="clear"/>
          </w:tcPr>
          <w:p>
            <w:pPr>
              <w:pStyle w:val="TableContents"/>
              <w:bidi w:val="0"/>
              <w:spacing w:before="0" w:after="283"/>
              <w:jc w:val="right"/>
              <w:rPr/>
            </w:pPr>
            <w:r>
              <w:rPr/>
              <w:t>52,073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3,546,737</w:t>
            </w:r>
          </w:p>
        </w:tc>
        <w:tc>
          <w:tcPr>
            <w:tcW w:w="60" w:type="dxa"/>
            <w:tcBorders/>
            <w:shd w:fill="CCEEFF" w:val="clear"/>
          </w:tcPr>
          <w:p>
            <w:pPr>
              <w:pStyle w:val="TableContents"/>
              <w:bidi w:val="0"/>
              <w:spacing w:before="0" w:after="283"/>
              <w:jc w:val="left"/>
              <w:rPr/>
            </w:pPr>
            <w:r>
              <w:rPr/>
              <w:t> </w:t>
            </w:r>
          </w:p>
        </w:tc>
      </w:tr>
      <w:tr>
        <w:trPr/>
        <w:tc>
          <w:tcPr>
            <w:tcW w:w="146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5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c>
          <w:tcPr>
            <w:tcW w:w="138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sz w:val="4"/>
                <w:szCs w:val="4"/>
              </w:rPr>
            </w:pPr>
            <w:r>
              <w:rPr>
                <w:sz w:val="4"/>
                <w:szCs w:val="4"/>
              </w:rPr>
            </w:r>
          </w:p>
        </w:tc>
        <w:tc>
          <w:tcPr>
            <w:tcW w:w="13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r>
      <w:tr>
        <w:trPr/>
        <w:tc>
          <w:tcPr>
            <w:tcW w:w="146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5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c>
          <w:tcPr>
            <w:tcW w:w="138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tcPr>
          <w:p>
            <w:pPr>
              <w:pStyle w:val="TableContents"/>
              <w:bidi w:val="0"/>
              <w:spacing w:before="0" w:after="283"/>
              <w:jc w:val="left"/>
              <w:rPr>
                <w:sz w:val="4"/>
                <w:szCs w:val="4"/>
              </w:rPr>
            </w:pPr>
            <w:r>
              <w:rPr>
                <w:sz w:val="4"/>
                <w:szCs w:val="4"/>
              </w:rPr>
            </w:r>
          </w:p>
        </w:tc>
        <w:tc>
          <w:tcPr>
            <w:tcW w:w="137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98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actual base salaries earned by our NEOs for Fiscal 2025, Fiscal 2024 and Fiscal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(i) for 2024 a one-time accomplishment-specific bonus awarded to the NEOs for the achievement of the direct cost savings related to the Company’s refinancing transaction at the end of 2024 and (ii) for 2023 a special one-time bonus awarded to the NEOs for the successful resolution of the GIFI litigation, which was a key accomplishment of management in Fiscal 2023 that benefited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grant date fair values (computed in accordance with FASB ASC Topic 718) of the RSU awards granted to the NEOs in Fiscal 2025 and the RSU and PSU awards granted to the NEOs in Fiscal 2023. See Note 14 to our Financial Statements included elsewhere in this prospectus for the assumptions used in calculating the grant date fair values. For the RSUs, the amounts reported in this column reflect the aggregate grant date fair value computed in accordance with ASC Topic 718. For the PSUs, the amounts reported in this column reflect the aggregate grant date fair value computed in accordance with ASC Topic 718, and assumes that the maximum number of the PSUs vest and participate in distributions.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grant date fair values (computed in accordance with FASB ASC Topic 718) of the NQSO awards granted to the NEOs in Fiscal 2025. See Note 14 to our Financial Statements included elsewhere in this prospectus for the assumptions used in calculating the grant date fair values.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(a) for Fiscal 2025, the December Cash LTIP Payments as described above under the heading “Long-Term Cash Incentive Compensation” and (b) for Fiscal 2024 and Fiscal 2023, bonuses paid to our NEOs for Fiscal 2024 and Fiscal 2023 performance, pursuant to the terms of the annual cash incentive compensation opportunities set forth in their respective employment agreements and the Company’s cash incentive compensation program in effect for Fiscal 2024, Fiscal 2023, respectively. With respect to Fiscal 2025 annual bonuses, as of the filing date, the amounts of the annual bonuses have not been determined by the Compensation Committee, but are expected to be calculated and paid in accordance with each NEO’s EA on or before March 15, 2026 and will be disclosed, as applicable, once available. Each of the NEOs is eligible to receive an annual bonus as described above in “Pay Mix—Bonus,” with Mr. Hornbeck having a Target Bonus of $750,000 and each of the other NEOs having Target Bonus of $400,000.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following amounts paid to our NEOs for Fiscal 2025: (i) employer- paid automobile lease, insurance, and fuel and repair expenses, which total $22,012, $17,088, $20,087, $14,231 and $16,742 for each of Messrs. Hornbeck, Harp, Giberga, Cook and Annessa, respectively, (ii) employer-paid term life insurance policy expenses for each NEO, (iii) employer-paid supplemental health insurance policy expenses in the amount of $20,880 for Mr. Annessa and $20,400 for each of the other NEOs, (iv) 401(k) matching contributions, which total $15,750 for each of our NEOs and (v) use of the Company’s aircraft for Mr. Hornbeck of $35,925. For the aircraft use, the value shown is the incremental cost to the Company for such use, which is calculated based on a contracted hourly rate billed to the Company per hour of operation. Fixed costs that do not change based on usage are not included.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March 2025, Mr. Giberga’s title was changed from EVP, General Counsel, Chief Compliance Officer &amp; Corporate Secretary to EVP, General Counsel &amp; Corporate Secretary.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August 2024, Mr. Cook’s title was changed from EVP, Chief Commercial Officer &amp; Chief Information Officer to EVP &amp; Chief Commercial Officer.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Grants of Plan-Based Awards for the 2025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non-equity incentive plan awards and equity incentive plan awards granted to our NEOs during Fiscal 2025. All numbers have been rounded to the nearest whole dollar or unit.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4"/>
        <w:gridCol w:w="122"/>
        <w:gridCol w:w="60"/>
        <w:gridCol w:w="583"/>
        <w:gridCol w:w="350"/>
        <w:gridCol w:w="63"/>
        <w:gridCol w:w="74"/>
        <w:gridCol w:w="997"/>
        <w:gridCol w:w="60"/>
        <w:gridCol w:w="122"/>
        <w:gridCol w:w="60"/>
        <w:gridCol w:w="800"/>
        <w:gridCol w:w="60"/>
        <w:gridCol w:w="122"/>
        <w:gridCol w:w="61"/>
        <w:gridCol w:w="1009"/>
        <w:gridCol w:w="60"/>
        <w:gridCol w:w="122"/>
        <w:gridCol w:w="73"/>
        <w:gridCol w:w="832"/>
        <w:gridCol w:w="60"/>
        <w:gridCol w:w="122"/>
        <w:gridCol w:w="95"/>
        <w:gridCol w:w="1080"/>
        <w:gridCol w:w="59"/>
        <w:gridCol w:w="122"/>
        <w:gridCol w:w="84"/>
        <w:gridCol w:w="792"/>
        <w:gridCol w:w="60"/>
        <w:gridCol w:w="122"/>
        <w:gridCol w:w="60"/>
        <w:gridCol w:w="981"/>
        <w:gridCol w:w="74"/>
      </w:tblGrid>
      <w:tr>
        <w:trPr/>
        <w:tc>
          <w:tcPr>
            <w:tcW w:w="86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r>
      <w:tr>
        <w:trPr/>
        <w:tc>
          <w:tcPr>
            <w:tcW w:w="864"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43"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33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Estimated Future Payouts</w:t>
              <w:br/>
              <w:t>Under Non-Equity Incentive</w:t>
              <w:br/>
              <w:t>Plan Awards</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w:t>
              <w:br/>
              <w:t>Other</w:t>
              <w:br/>
              <w:t>Stock</w:t>
              <w:br/>
              <w:t>Awards:</w:t>
              <w:br/>
              <w:t>Number</w:t>
              <w:br/>
              <w:t>of</w:t>
              <w:br/>
              <w:t>Shares</w:t>
              <w:br/>
              <w:t>of Stock</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Option</w:t>
              <w:br/>
              <w:t>Awards:</w:t>
              <w:br/>
              <w:t>Number of</w:t>
              <w:br/>
              <w:t>Securities</w:t>
              <w:br/>
              <w:t>Underlying</w:t>
            </w:r>
          </w:p>
        </w:tc>
        <w:tc>
          <w:tcPr>
            <w:tcW w:w="5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Exercise</w:t>
              <w:br/>
              <w:t>or Base</w:t>
              <w:br/>
              <w:t>Price of</w:t>
              <w:br/>
              <w:t>Option</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 Fair</w:t>
              <w:br/>
              <w:t>Value of</w:t>
              <w:br/>
              <w:t>Stock and</w:t>
              <w:br/>
              <w:t>Option</w:t>
            </w:r>
          </w:p>
        </w:tc>
        <w:tc>
          <w:tcPr>
            <w:tcW w:w="74" w:type="dxa"/>
            <w:tcBorders/>
            <w:vAlign w:val="bottom"/>
          </w:tcPr>
          <w:p>
            <w:pPr>
              <w:pStyle w:val="TableContents"/>
              <w:bidi w:val="0"/>
              <w:spacing w:before="0" w:after="283"/>
              <w:jc w:val="left"/>
              <w:rPr/>
            </w:pPr>
            <w:r>
              <w:rPr/>
              <w:t> </w:t>
            </w:r>
          </w:p>
        </w:tc>
      </w:tr>
      <w:tr>
        <w:trPr/>
        <w:tc>
          <w:tcPr>
            <w:tcW w:w="864" w:type="dxa"/>
            <w:tcBorders/>
            <w:vAlign w:val="bottom"/>
          </w:tcPr>
          <w:p>
            <w:pPr>
              <w:pStyle w:val="TableContents"/>
              <w:bidi w:val="0"/>
              <w:spacing w:before="0" w:after="283"/>
              <w:jc w:val="center"/>
              <w:rPr>
                <w:b/>
              </w:rPr>
            </w:pPr>
            <w:r>
              <w:rPr>
                <w:b/>
              </w:rPr>
              <w:t>Name</w:t>
              <w:br/>
              <w:t>(a)</w:t>
            </w:r>
          </w:p>
        </w:tc>
        <w:tc>
          <w:tcPr>
            <w:tcW w:w="122" w:type="dxa"/>
            <w:tcBorders/>
            <w:vAlign w:val="bottom"/>
          </w:tcPr>
          <w:p>
            <w:pPr>
              <w:pStyle w:val="TableContents"/>
              <w:bidi w:val="0"/>
              <w:spacing w:before="0" w:after="283"/>
              <w:jc w:val="left"/>
              <w:rPr/>
            </w:pPr>
            <w:r>
              <w:rPr/>
              <w:t>  </w:t>
            </w:r>
          </w:p>
        </w:tc>
        <w:tc>
          <w:tcPr>
            <w:tcW w:w="643" w:type="dxa"/>
            <w:gridSpan w:val="2"/>
            <w:tcBorders/>
            <w:vAlign w:val="bottom"/>
          </w:tcPr>
          <w:p>
            <w:pPr>
              <w:pStyle w:val="TableContents"/>
              <w:bidi w:val="0"/>
              <w:spacing w:before="0" w:after="283"/>
              <w:jc w:val="center"/>
              <w:rPr>
                <w:b/>
              </w:rPr>
            </w:pPr>
            <w:r>
              <w:rPr>
                <w:b/>
              </w:rPr>
              <w:t>Grant Date</w:t>
              <w:br/>
              <w:t>(b)</w:t>
            </w:r>
          </w:p>
        </w:tc>
        <w:tc>
          <w:tcPr>
            <w:tcW w:w="35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71" w:type="dxa"/>
            <w:gridSpan w:val="2"/>
            <w:tcBorders/>
            <w:vAlign w:val="bottom"/>
          </w:tcPr>
          <w:p>
            <w:pPr>
              <w:pStyle w:val="TableContents"/>
              <w:bidi w:val="0"/>
              <w:spacing w:before="0" w:after="283"/>
              <w:jc w:val="center"/>
              <w:rPr>
                <w:b/>
              </w:rPr>
            </w:pPr>
            <w:r>
              <w:rPr>
                <w:b/>
              </w:rPr>
              <w:t>Threshold</w:t>
              <w:br/>
              <w:t>($)</w:t>
              <w:br/>
              <w:t>(c)</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rPr>
            </w:pPr>
            <w:r>
              <w:rPr>
                <w:b/>
              </w:rPr>
              <w:t>Target</w:t>
              <w:br/>
              <w:t>($)</w:t>
              <w:br/>
              <w:t>(d)</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b/>
              </w:rPr>
            </w:pPr>
            <w:r>
              <w:rPr>
                <w:b/>
              </w:rPr>
              <w:t>Maximum</w:t>
              <w:br/>
              <w:t>($)</w:t>
              <w:br/>
              <w:t>(e)</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05" w:type="dxa"/>
            <w:gridSpan w:val="2"/>
            <w:tcBorders/>
            <w:vAlign w:val="bottom"/>
          </w:tcPr>
          <w:p>
            <w:pPr>
              <w:pStyle w:val="TableContents"/>
              <w:bidi w:val="0"/>
              <w:spacing w:before="0" w:after="283"/>
              <w:jc w:val="center"/>
              <w:rPr>
                <w:b/>
              </w:rPr>
            </w:pPr>
            <w:r>
              <w:rPr>
                <w:b/>
              </w:rPr>
              <w:t>or Units</w:t>
              <w:br/>
              <w:t>(#)(3)</w:t>
              <w:br/>
              <w:t>(i)</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175" w:type="dxa"/>
            <w:gridSpan w:val="2"/>
            <w:tcBorders/>
            <w:vAlign w:val="bottom"/>
          </w:tcPr>
          <w:p>
            <w:pPr>
              <w:pStyle w:val="TableContents"/>
              <w:bidi w:val="0"/>
              <w:spacing w:before="0" w:after="283"/>
              <w:jc w:val="center"/>
              <w:rPr>
                <w:b/>
              </w:rPr>
            </w:pPr>
            <w:r>
              <w:rPr>
                <w:b/>
              </w:rPr>
              <w:t>Options</w:t>
              <w:br/>
              <w:t>(#)(4)</w:t>
              <w:br/>
              <w:t>(j)</w:t>
            </w:r>
          </w:p>
        </w:tc>
        <w:tc>
          <w:tcPr>
            <w:tcW w:w="5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76" w:type="dxa"/>
            <w:gridSpan w:val="2"/>
            <w:tcBorders/>
            <w:vAlign w:val="bottom"/>
          </w:tcPr>
          <w:p>
            <w:pPr>
              <w:pStyle w:val="TableContents"/>
              <w:bidi w:val="0"/>
              <w:spacing w:before="0" w:after="283"/>
              <w:jc w:val="center"/>
              <w:rPr>
                <w:b/>
              </w:rPr>
            </w:pPr>
            <w:r>
              <w:rPr>
                <w:b/>
              </w:rPr>
              <w:t>Awards</w:t>
              <w:br/>
              <w:t>($/Sh)</w:t>
              <w:br/>
              <w:t>(k)</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041" w:type="dxa"/>
            <w:gridSpan w:val="2"/>
            <w:tcBorders/>
            <w:vAlign w:val="bottom"/>
          </w:tcPr>
          <w:p>
            <w:pPr>
              <w:pStyle w:val="TableContents"/>
              <w:bidi w:val="0"/>
              <w:spacing w:before="0" w:after="283"/>
              <w:jc w:val="center"/>
              <w:rPr>
                <w:b/>
              </w:rPr>
            </w:pPr>
            <w:r>
              <w:rPr>
                <w:b/>
              </w:rPr>
              <w:t>Awards</w:t>
              <w:br/>
              <w:t>($)(5)</w:t>
              <w:br/>
              <w:t>(l)</w:t>
            </w:r>
          </w:p>
        </w:tc>
        <w:tc>
          <w:tcPr>
            <w:tcW w:w="74" w:type="dxa"/>
            <w:tcBorders/>
            <w:vAlign w:val="bottom"/>
          </w:tcPr>
          <w:p>
            <w:pPr>
              <w:pStyle w:val="TableContents"/>
              <w:bidi w:val="0"/>
              <w:spacing w:before="0" w:after="283"/>
              <w:jc w:val="left"/>
              <w:rPr/>
            </w:pPr>
            <w:r>
              <w:rPr/>
              <w:t> </w:t>
            </w:r>
          </w:p>
        </w:tc>
      </w:tr>
      <w:tr>
        <w:trPr/>
        <w:tc>
          <w:tcPr>
            <w:tcW w:w="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2/27/2025</w:t>
            </w:r>
          </w:p>
        </w:tc>
        <w:tc>
          <w:tcPr>
            <w:tcW w:w="350" w:type="dxa"/>
            <w:tcBorders/>
            <w:shd w:fill="CCEEFF" w:val="clear"/>
            <w:vAlign w:val="bottom"/>
          </w:tcPr>
          <w:p>
            <w:pPr>
              <w:pStyle w:val="TableContents"/>
              <w:bidi w:val="0"/>
              <w:spacing w:before="0" w:after="283"/>
              <w:jc w:val="left"/>
              <w:rPr/>
            </w:pPr>
            <w:r>
              <w:rPr/>
              <w:t>(1)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375,000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750,000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1,500,000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17,131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1,102,209</w:t>
            </w:r>
          </w:p>
        </w:tc>
        <w:tc>
          <w:tcPr>
            <w:tcW w:w="74" w:type="dxa"/>
            <w:tcBorders/>
            <w:vAlign w:val="bottom"/>
          </w:tcPr>
          <w:p>
            <w:pPr>
              <w:pStyle w:val="TableContents"/>
              <w:bidi w:val="0"/>
              <w:spacing w:before="0" w:after="283"/>
              <w:jc w:val="left"/>
              <w:rPr/>
            </w:pPr>
            <w:r>
              <w:rPr/>
              <w:t> </w:t>
            </w:r>
          </w:p>
        </w:tc>
      </w:tr>
      <w:tr>
        <w:trPr/>
        <w:tc>
          <w:tcPr>
            <w:tcW w:w="864"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4/1/2025</w:t>
            </w:r>
          </w:p>
        </w:tc>
        <w:tc>
          <w:tcPr>
            <w:tcW w:w="35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51,393</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65.67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1,891,776</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(2)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2,400,000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2/27/2025</w:t>
            </w:r>
          </w:p>
        </w:tc>
        <w:tc>
          <w:tcPr>
            <w:tcW w:w="350" w:type="dxa"/>
            <w:tcBorders/>
            <w:shd w:fill="CCEEFF" w:val="clear"/>
            <w:vAlign w:val="bottom"/>
          </w:tcPr>
          <w:p>
            <w:pPr>
              <w:pStyle w:val="TableContents"/>
              <w:bidi w:val="0"/>
              <w:spacing w:before="0" w:after="283"/>
              <w:jc w:val="left"/>
              <w:rPr/>
            </w:pPr>
            <w:r>
              <w:rPr/>
              <w:t>(1)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800,000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6,601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424,708</w:t>
            </w:r>
          </w:p>
        </w:tc>
        <w:tc>
          <w:tcPr>
            <w:tcW w:w="74" w:type="dxa"/>
            <w:tcBorders/>
            <w:vAlign w:val="bottom"/>
          </w:tcPr>
          <w:p>
            <w:pPr>
              <w:pStyle w:val="TableContents"/>
              <w:bidi w:val="0"/>
              <w:spacing w:before="0" w:after="283"/>
              <w:jc w:val="left"/>
              <w:rPr/>
            </w:pPr>
            <w:r>
              <w:rPr/>
              <w:t> </w:t>
            </w:r>
          </w:p>
        </w:tc>
      </w:tr>
      <w:tr>
        <w:trPr/>
        <w:tc>
          <w:tcPr>
            <w:tcW w:w="864"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4/1/2025</w:t>
            </w:r>
          </w:p>
        </w:tc>
        <w:tc>
          <w:tcPr>
            <w:tcW w:w="35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19,804</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65.67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728,985</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(2)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900,000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2/27/2025</w:t>
            </w:r>
          </w:p>
        </w:tc>
        <w:tc>
          <w:tcPr>
            <w:tcW w:w="350" w:type="dxa"/>
            <w:tcBorders/>
            <w:shd w:fill="CCEEFF" w:val="clear"/>
            <w:vAlign w:val="bottom"/>
          </w:tcPr>
          <w:p>
            <w:pPr>
              <w:pStyle w:val="TableContents"/>
              <w:bidi w:val="0"/>
              <w:spacing w:before="0" w:after="283"/>
              <w:jc w:val="left"/>
              <w:rPr/>
            </w:pPr>
            <w:r>
              <w:rPr/>
              <w:t>(1)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800,000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6,601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424,708</w:t>
            </w:r>
          </w:p>
        </w:tc>
        <w:tc>
          <w:tcPr>
            <w:tcW w:w="74" w:type="dxa"/>
            <w:tcBorders/>
            <w:vAlign w:val="bottom"/>
          </w:tcPr>
          <w:p>
            <w:pPr>
              <w:pStyle w:val="TableContents"/>
              <w:bidi w:val="0"/>
              <w:spacing w:before="0" w:after="283"/>
              <w:jc w:val="left"/>
              <w:rPr/>
            </w:pPr>
            <w:r>
              <w:rPr/>
              <w:t> </w:t>
            </w:r>
          </w:p>
        </w:tc>
      </w:tr>
      <w:tr>
        <w:trPr/>
        <w:tc>
          <w:tcPr>
            <w:tcW w:w="864"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4/1/2025</w:t>
            </w:r>
          </w:p>
        </w:tc>
        <w:tc>
          <w:tcPr>
            <w:tcW w:w="35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19,804</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65.67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728,985</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(2)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900,000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2/27/2025</w:t>
            </w:r>
          </w:p>
        </w:tc>
        <w:tc>
          <w:tcPr>
            <w:tcW w:w="350" w:type="dxa"/>
            <w:tcBorders/>
            <w:shd w:fill="CCEEFF" w:val="clear"/>
            <w:vAlign w:val="bottom"/>
          </w:tcPr>
          <w:p>
            <w:pPr>
              <w:pStyle w:val="TableContents"/>
              <w:bidi w:val="0"/>
              <w:spacing w:before="0" w:after="283"/>
              <w:jc w:val="left"/>
              <w:rPr/>
            </w:pPr>
            <w:r>
              <w:rPr/>
              <w:t>(1)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7" w:type="dxa"/>
            <w:tcBorders/>
            <w:shd w:fill="CCEEFF" w:val="clear"/>
            <w:vAlign w:val="bottom"/>
          </w:tcPr>
          <w:p>
            <w:pPr>
              <w:pStyle w:val="TableContents"/>
              <w:bidi w:val="0"/>
              <w:spacing w:before="0" w:after="283"/>
              <w:jc w:val="right"/>
              <w:rPr/>
            </w:pPr>
            <w:r>
              <w:rPr/>
              <w:t>200,000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800,000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sz w:val="4"/>
                <w:szCs w:val="4"/>
              </w:rPr>
            </w:pPr>
            <w:r>
              <w:rPr>
                <w:sz w:val="4"/>
                <w:szCs w:val="4"/>
              </w:rPr>
            </w:r>
          </w:p>
        </w:tc>
        <w:tc>
          <w:tcPr>
            <w:tcW w:w="8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6,601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424,708</w:t>
            </w:r>
          </w:p>
        </w:tc>
        <w:tc>
          <w:tcPr>
            <w:tcW w:w="74" w:type="dxa"/>
            <w:tcBorders/>
            <w:vAlign w:val="bottom"/>
          </w:tcPr>
          <w:p>
            <w:pPr>
              <w:pStyle w:val="TableContents"/>
              <w:bidi w:val="0"/>
              <w:spacing w:before="0" w:after="283"/>
              <w:jc w:val="left"/>
              <w:rPr/>
            </w:pPr>
            <w:r>
              <w:rPr/>
              <w:t> </w:t>
            </w:r>
          </w:p>
        </w:tc>
      </w:tr>
      <w:tr>
        <w:trPr/>
        <w:tc>
          <w:tcPr>
            <w:tcW w:w="864"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4/1/2025</w:t>
            </w:r>
          </w:p>
        </w:tc>
        <w:tc>
          <w:tcPr>
            <w:tcW w:w="35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19,804</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65.67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728,985</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(2)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7" w:type="dxa"/>
            <w:tcBorders/>
            <w:vAlign w:val="bottom"/>
          </w:tcPr>
          <w:p>
            <w:pPr>
              <w:pStyle w:val="TableContents"/>
              <w:bidi w:val="0"/>
              <w:spacing w:before="0" w:after="283"/>
              <w:jc w:val="right"/>
              <w:rPr/>
            </w:pPr>
            <w:r>
              <w:rPr/>
              <w:t>150,000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750,000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900,000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r>
        <w:trPr/>
        <w:tc>
          <w:tcPr>
            <w:tcW w:w="8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2/27/2025</w:t>
            </w:r>
          </w:p>
        </w:tc>
        <w:tc>
          <w:tcPr>
            <w:tcW w:w="350" w:type="dxa"/>
            <w:tcBorders/>
            <w:shd w:fill="CCEEFF" w:val="clear"/>
            <w:vAlign w:val="bottom"/>
          </w:tcPr>
          <w:p>
            <w:pPr>
              <w:pStyle w:val="TableContents"/>
              <w:bidi w:val="0"/>
              <w:spacing w:before="0" w:after="283"/>
              <w:jc w:val="left"/>
              <w:rPr/>
            </w:pPr>
            <w:r>
              <w:rPr/>
              <w:t>(1)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800,000</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— </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right"/>
              <w:rPr/>
            </w:pPr>
            <w:r>
              <w:rPr/>
              <w:t>6,601</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283"/>
              <w:jc w:val="right"/>
              <w:rPr/>
            </w:pPr>
            <w:r>
              <w:rPr/>
              <w:t>424,708</w:t>
            </w:r>
          </w:p>
        </w:tc>
        <w:tc>
          <w:tcPr>
            <w:tcW w:w="74" w:type="dxa"/>
            <w:tcBorders/>
            <w:vAlign w:val="bottom"/>
          </w:tcPr>
          <w:p>
            <w:pPr>
              <w:pStyle w:val="TableContents"/>
              <w:bidi w:val="0"/>
              <w:spacing w:before="0" w:after="283"/>
              <w:jc w:val="left"/>
              <w:rPr/>
            </w:pPr>
            <w:r>
              <w:rPr/>
              <w:t> </w:t>
            </w:r>
          </w:p>
        </w:tc>
      </w:tr>
      <w:tr>
        <w:trPr/>
        <w:tc>
          <w:tcPr>
            <w:tcW w:w="864" w:type="dxa"/>
            <w:tcBorders/>
            <w:shd w:fill="CCEEFF" w:val="clear"/>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4/1/2025</w:t>
            </w:r>
          </w:p>
        </w:tc>
        <w:tc>
          <w:tcPr>
            <w:tcW w:w="35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9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19,804</w:t>
            </w:r>
          </w:p>
        </w:tc>
        <w:tc>
          <w:tcPr>
            <w:tcW w:w="59"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65.67</w:t>
            </w:r>
          </w:p>
        </w:tc>
        <w:tc>
          <w:tcPr>
            <w:tcW w:w="60"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283"/>
              <w:jc w:val="right"/>
              <w:rPr/>
            </w:pPr>
            <w:r>
              <w:rPr/>
              <w:t>728,985</w:t>
            </w:r>
          </w:p>
        </w:tc>
        <w:tc>
          <w:tcPr>
            <w:tcW w:w="74" w:type="dxa"/>
            <w:tcBorders/>
            <w:shd w:fill="CCEEFF" w:val="clear"/>
            <w:vAlign w:val="bottom"/>
          </w:tcPr>
          <w:p>
            <w:pPr>
              <w:pStyle w:val="TableContents"/>
              <w:bidi w:val="0"/>
              <w:spacing w:before="0" w:after="283"/>
              <w:jc w:val="left"/>
              <w:rPr/>
            </w:pPr>
            <w:r>
              <w:rPr/>
              <w:t> </w:t>
            </w:r>
          </w:p>
        </w:tc>
      </w:tr>
      <w:tr>
        <w:trPr/>
        <w:tc>
          <w:tcPr>
            <w:tcW w:w="86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4/1/2025</w:t>
            </w:r>
          </w:p>
        </w:tc>
        <w:tc>
          <w:tcPr>
            <w:tcW w:w="350" w:type="dxa"/>
            <w:tcBorders/>
            <w:vAlign w:val="bottom"/>
          </w:tcPr>
          <w:p>
            <w:pPr>
              <w:pStyle w:val="TableContents"/>
              <w:bidi w:val="0"/>
              <w:spacing w:before="0" w:after="283"/>
              <w:jc w:val="left"/>
              <w:rPr/>
            </w:pPr>
            <w:r>
              <w:rPr/>
              <w:t>(2) </w:t>
            </w:r>
          </w:p>
        </w:tc>
        <w:tc>
          <w:tcPr>
            <w:tcW w:w="6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9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900,000</w:t>
            </w:r>
          </w:p>
        </w:tc>
        <w:tc>
          <w:tcPr>
            <w:tcW w:w="60"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sz w:val="4"/>
                <w:szCs w:val="4"/>
              </w:rPr>
            </w:pPr>
            <w:r>
              <w:rPr>
                <w:sz w:val="4"/>
                <w:szCs w:val="4"/>
              </w:rPr>
            </w:r>
          </w:p>
        </w:tc>
        <w:tc>
          <w:tcPr>
            <w:tcW w:w="8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1"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Fiscal 2025, each NEO was eligible to receive non-equity incentive plan compensation based on the achievement of objective performance goals (for the EBITDA and TRIR components) and the discretion of the compensation committee (for the Strategic Plan component only). The amount for 2025 will be paid on or before March 15, 2026 in accordance with each NEO’s EA.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Fiscal 2025, the Company adopted the Cash LTIP as described above under the heading “Long-Term Cash Incentive Compensation” pursuant to which there is a maximum pool of up to $6 million. The percentage of the pool that each NEO is eligible to receive is 40% for Mr. Hornbeck and 15% for each other NEO. There are no threshold or target amounts under the Cash LTIP.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RSUs granted to our NEOs pursuant to the 2020 Management Incentive Plan in Fiscal 2025. The RSUs vest ratably on each of the first three anniversaries of February 15,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in this column reflect the NQSOs granted to our NEOs pursuant to the 2020 Management Incentive Plan in Fiscal 2025.The NQSOs vest ratably on each of the first three anniversaries of February 15,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represent the grant date fair value of equity awards granted to the NEOs in Fiscal 2025 calculated in accordance with FASB ASC Topic 718. The grant date fair value for the RSUs and NQSOs was $64.34 and $36.81,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Narrative Description to the Summary Compensation Table and the Grants of Plan-Based Awards Table for the 2025 Fiscal Year </w:t>
      </w:r>
    </w:p>
    <w:p>
      <w:pPr>
        <w:pStyle w:val="TextBody"/>
        <w:bidi w:val="0"/>
        <w:spacing w:before="120" w:after="0"/>
        <w:jc w:val="left"/>
        <w:rPr>
          <w:rFonts w:ascii="Times New Roman" w:hAnsi="Times New Roman"/>
          <w:b/>
          <w:i/>
          <w:sz w:val="20"/>
        </w:rPr>
      </w:pPr>
      <w:r>
        <w:rPr>
          <w:rFonts w:ascii="Times New Roman" w:hAnsi="Times New Roman"/>
          <w:b/>
          <w:i/>
          <w:sz w:val="20"/>
        </w:rPr>
        <w:t xml:space="preserve">Amended and Restated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each of our NEOs is a party to an EA that provides for such NEO’s initial annual base salary, target annual cash incentive compensation opportunity, certain severance benefits (as described in detail in the section titled “Potential Payments upon Termination or Change of Control”), entitlement to reimbursement of reasonable business expenses and eligibility to participate in our benefit plans generally. </w:t>
      </w:r>
    </w:p>
    <w:p>
      <w:pPr>
        <w:pStyle w:val="TextBody"/>
        <w:bidi w:val="0"/>
        <w:spacing w:before="240" w:after="0"/>
        <w:jc w:val="left"/>
        <w:rPr>
          <w:rFonts w:ascii="Times New Roman" w:hAnsi="Times New Roman"/>
          <w:sz w:val="20"/>
        </w:rPr>
      </w:pPr>
      <w:r>
        <w:rPr>
          <w:rFonts w:ascii="Times New Roman" w:hAnsi="Times New Roman"/>
          <w:sz w:val="20"/>
        </w:rPr>
        <w:t xml:space="preserve">At the end of Fiscal 2025, Mr. Hornbeck’s annualized base salary was $750,000, and each of the other NEOs had an annualized base salary of $400,000, and each of the NEOs (including Mr. Hornbeck) had a target annual cash incentive compensation opportunity equal to 100% of his annualized base salary. As previously noted, the various components of our executive compensation program are related but distinct and are designed to emphasize “pay for performance,” with a significant portion of total compensation reflecting a risk aspect tied to achieving our long-term and short-term financial and strategic goals. </w:t>
      </w:r>
    </w:p>
    <w:p>
      <w:pPr>
        <w:pStyle w:val="TextBody"/>
        <w:bidi w:val="0"/>
        <w:spacing w:before="240" w:after="0"/>
        <w:jc w:val="left"/>
        <w:rPr>
          <w:rFonts w:ascii="Times New Roman" w:hAnsi="Times New Roman"/>
          <w:sz w:val="20"/>
        </w:rPr>
      </w:pPr>
      <w:r>
        <w:rPr>
          <w:rFonts w:ascii="Times New Roman" w:hAnsi="Times New Roman"/>
          <w:sz w:val="20"/>
        </w:rPr>
        <w:t xml:space="preserve">The EAs subject the NEOs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the NEO receiving a greater amount (on an after-tax basis) than the NEO would receive absent such reduction.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Grant of Equity Incentive Awards </w:t>
      </w:r>
    </w:p>
    <w:p>
      <w:pPr>
        <w:pStyle w:val="TextBody"/>
        <w:bidi w:val="0"/>
        <w:spacing w:before="120" w:after="0"/>
        <w:jc w:val="left"/>
        <w:rPr>
          <w:rFonts w:ascii="Times New Roman" w:hAnsi="Times New Roman"/>
          <w:sz w:val="20"/>
        </w:rPr>
      </w:pPr>
      <w:r>
        <w:rPr>
          <w:rFonts w:ascii="Times New Roman" w:hAnsi="Times New Roman"/>
          <w:sz w:val="20"/>
        </w:rPr>
        <w:t xml:space="preserve">In Fiscal 2025 and under the 2020 Management Incentive Plan (as described above), Mr. Hornbeck was granted 17,131 RSUs and 51,393 NQSOs. Each of Messrs. Harp, Annessa, Giberga and Cook were granted 6,601 RSUs and 19,804 NQSOs. These equity incentive awards are described in more detail above in the section titled “Long-Term Equity-Based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Outstanding Equity Awards at 2025 Fiscal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on the stock option and stock award holdings of our NEOs as of the end of Fiscal 2025. This table includes unexercised stock options and unvested RSUs and PSUs. The vesting dates for each award are shown in the accompanying footnotes. The market value of the stock awards was determined using a price per share of $75.05, which is the fair market value of a share of our common stock as of December 31, 2025 and the price used for the 2025 Tender Offer in December 2025. </w:t>
      </w:r>
    </w:p>
    <w:p>
      <w:pPr>
        <w:pStyle w:val="TextBody"/>
        <w:bidi w:val="0"/>
        <w:spacing w:before="0" w:after="0"/>
        <w:jc w:val="left"/>
        <w:rPr/>
      </w:pPr>
      <w:r>
        <w:rPr/>
        <w:t> </w:t>
      </w:r>
    </w:p>
    <w:tbl>
      <w:tblPr>
        <w:tblW w:w="10375" w:type="dxa"/>
        <w:jc w:val="center"/>
        <w:tblInd w:w="0" w:type="dxa"/>
        <w:tblLayout w:type="fixed"/>
        <w:tblCellMar>
          <w:top w:w="0" w:type="dxa"/>
          <w:left w:w="0" w:type="dxa"/>
          <w:bottom w:w="0" w:type="dxa"/>
          <w:right w:w="0" w:type="dxa"/>
        </w:tblCellMar>
      </w:tblPr>
      <w:tblGrid>
        <w:gridCol w:w="815"/>
        <w:gridCol w:w="60"/>
        <w:gridCol w:w="99"/>
        <w:gridCol w:w="1331"/>
        <w:gridCol w:w="350"/>
        <w:gridCol w:w="60"/>
        <w:gridCol w:w="84"/>
        <w:gridCol w:w="791"/>
        <w:gridCol w:w="60"/>
        <w:gridCol w:w="60"/>
        <w:gridCol w:w="119"/>
        <w:gridCol w:w="996"/>
        <w:gridCol w:w="60"/>
        <w:gridCol w:w="60"/>
        <w:gridCol w:w="78"/>
        <w:gridCol w:w="1067"/>
        <w:gridCol w:w="350"/>
        <w:gridCol w:w="60"/>
        <w:gridCol w:w="60"/>
        <w:gridCol w:w="980"/>
        <w:gridCol w:w="60"/>
        <w:gridCol w:w="60"/>
        <w:gridCol w:w="92"/>
        <w:gridCol w:w="1053"/>
        <w:gridCol w:w="350"/>
        <w:gridCol w:w="60"/>
        <w:gridCol w:w="63"/>
        <w:gridCol w:w="1037"/>
        <w:gridCol w:w="60"/>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0"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0" w:type="dxa"/>
            <w:tcBorders/>
            <w:vAlign w:val="bottom"/>
          </w:tcPr>
          <w:p>
            <w:pPr>
              <w:pStyle w:val="TableContents"/>
              <w:bidi w:val="0"/>
              <w:spacing w:before="0" w:after="283"/>
              <w:jc w:val="left"/>
              <w:rPr/>
            </w:pPr>
            <w:r>
              <w:rPr/>
              <w:t> </w:t>
            </w:r>
          </w:p>
        </w:tc>
      </w:tr>
      <w:tr>
        <w:trPr/>
        <w:tc>
          <w:tcPr>
            <w:tcW w:w="8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 Awards:</w:t>
              <w:br/>
              <w:t>Number of</w:t>
              <w:br/>
              <w:t>Securities</w:t>
              <w:br/>
              <w:t>Underlying</w:t>
              <w:br/>
              <w:t>Unexercised</w:t>
              <w:br/>
              <w:t>Unearned</w:t>
              <w:br/>
              <w:t>Options</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pPr>
            <w:r>
              <w:rPr>
                <w:b/>
              </w:rPr>
              <w:t>Option</w:t>
              <w:br/>
              <w:t>Exercise</w:t>
              <w:br/>
            </w:r>
            <w:r>
              <w:rPr/>
              <w:br/>
            </w:r>
            <w:r>
              <w:rPr>
                <w:b/>
              </w:rPr>
              <w:t>Price</w:t>
              <w:br/>
            </w:r>
            <w:r>
              <w:rPr/>
              <w:br/>
            </w: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Unearned</w:t>
              <w:br/>
              <w:t>Shares,</w:t>
              <w:br/>
              <w:t>Units or</w:t>
              <w:br/>
              <w:t>Other</w:t>
              <w:br/>
              <w:t>Rights</w:t>
              <w:br/>
              <w:t>That Have</w:t>
              <w:br/>
              <w:t>Not Vested</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Market or</w:t>
              <w:br/>
              <w:t>Payout</w:t>
              <w:br/>
              <w:t>Value of</w:t>
              <w:br/>
              <w:t>Unearned</w:t>
              <w:br/>
              <w:t>Shares,</w:t>
              <w:br/>
              <w:t>Units or</w:t>
              <w:br/>
              <w:t>Other</w:t>
              <w:br/>
              <w:t>Rights</w:t>
              <w:br/>
              <w:t>That Have</w:t>
              <w:br/>
              <w:t>Not Vested</w:t>
              <w:br/>
              <w:t>($)(6)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w:t>
              <w:br/>
              <w:t>Awards:</w:t>
              <w:br/>
              <w:t>Number of</w:t>
              <w:br/>
              <w:t>Unearned</w:t>
              <w:br/>
              <w:t>Shares,</w:t>
              <w:br/>
              <w:t>Units or</w:t>
              <w:br/>
              <w:t>Other</w:t>
              <w:br/>
              <w:t>Rights</w:t>
              <w:br/>
              <w:t>That Have</w:t>
              <w:br/>
              <w:t>Not Vested</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w:t>
              <w:br/>
              <w:t>Incentive</w:t>
              <w:br/>
              <w:t>Plan</w:t>
              <w:br/>
              <w:t>Awards:</w:t>
              <w:br/>
              <w:t>Market or</w:t>
              <w:br/>
              <w:t>Payout</w:t>
              <w:br/>
              <w:t>Value of</w:t>
              <w:br/>
              <w:t>Unearned</w:t>
              <w:br/>
              <w:t>Shares,</w:t>
              <w:br/>
              <w:t>Units or</w:t>
              <w:br/>
              <w:t>Other</w:t>
              <w:br/>
              <w:t>Rights</w:t>
              <w:br/>
              <w:t>That Have</w:t>
              <w:br/>
              <w:t>Not Vested</w:t>
              <w:br/>
              <w:t>($)(6)</w:t>
            </w:r>
          </w:p>
        </w:tc>
        <w:tc>
          <w:tcPr>
            <w:tcW w:w="60" w:type="dxa"/>
            <w:tcBorders/>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113,140</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9/4/2030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29,910</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2,244,746</w:t>
            </w:r>
          </w:p>
        </w:tc>
        <w:tc>
          <w:tcPr>
            <w:tcW w:w="60" w:type="dxa"/>
            <w:tcBorders/>
            <w:shd w:fill="CCEEFF" w:val="clear"/>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8,496 (3)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637,625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17,131(4)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1,285,682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51,123</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65.67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4/1/2035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47,140</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12,462</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935,273</w:t>
            </w:r>
          </w:p>
        </w:tc>
        <w:tc>
          <w:tcPr>
            <w:tcW w:w="60" w:type="dxa"/>
            <w:tcBorders/>
            <w:vAlign w:val="bottom"/>
          </w:tcPr>
          <w:p>
            <w:pPr>
              <w:pStyle w:val="TableContents"/>
              <w:bidi w:val="0"/>
              <w:spacing w:before="0" w:after="283"/>
              <w:jc w:val="left"/>
              <w:rPr/>
            </w:pPr>
            <w:r>
              <w:rPr/>
              <w:t> </w:t>
            </w:r>
          </w:p>
        </w:tc>
      </w:tr>
      <w:tr>
        <w:trPr/>
        <w:tc>
          <w:tcPr>
            <w:tcW w:w="8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3,562</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267,328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6,601</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495,405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19,702</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65.67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4/1/2035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47,140</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9/4/2030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12,462</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935,273</w:t>
            </w:r>
          </w:p>
        </w:tc>
        <w:tc>
          <w:tcPr>
            <w:tcW w:w="60" w:type="dxa"/>
            <w:tcBorders/>
            <w:shd w:fill="CCEEFF" w:val="clear"/>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3,562</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267,328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6,601</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495,405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19,702</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65.67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4/1/2035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47,140</w:t>
            </w:r>
          </w:p>
        </w:tc>
        <w:tc>
          <w:tcPr>
            <w:tcW w:w="350" w:type="dxa"/>
            <w:tcBorders/>
            <w:vAlign w:val="bottom"/>
          </w:tcPr>
          <w:p>
            <w:pPr>
              <w:pStyle w:val="TableContents"/>
              <w:bidi w:val="0"/>
              <w:spacing w:before="0" w:after="283"/>
              <w:jc w:val="left"/>
              <w:rPr/>
            </w:pPr>
            <w:r>
              <w:rPr/>
              <w:t>(1)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9/4/2030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12,462</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935,273</w:t>
            </w:r>
          </w:p>
        </w:tc>
        <w:tc>
          <w:tcPr>
            <w:tcW w:w="60" w:type="dxa"/>
            <w:tcBorders/>
            <w:vAlign w:val="bottom"/>
          </w:tcPr>
          <w:p>
            <w:pPr>
              <w:pStyle w:val="TableContents"/>
              <w:bidi w:val="0"/>
              <w:spacing w:before="0" w:after="283"/>
              <w:jc w:val="left"/>
              <w:rPr/>
            </w:pPr>
            <w:r>
              <w:rPr/>
              <w:t> </w:t>
            </w:r>
          </w:p>
        </w:tc>
      </w:tr>
      <w:tr>
        <w:trPr/>
        <w:tc>
          <w:tcPr>
            <w:tcW w:w="8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3,561</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267,253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7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6,601</w:t>
            </w:r>
          </w:p>
        </w:tc>
        <w:tc>
          <w:tcPr>
            <w:tcW w:w="350" w:type="dxa"/>
            <w:tcBorders/>
            <w:vAlign w:val="bottom"/>
          </w:tcPr>
          <w:p>
            <w:pPr>
              <w:pStyle w:val="TableContents"/>
              <w:bidi w:val="0"/>
              <w:spacing w:before="0" w:after="283"/>
              <w:jc w:val="left"/>
              <w:rPr/>
            </w:pPr>
            <w:r>
              <w:rPr/>
              <w:t>(4)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495,405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19,702</w:t>
            </w:r>
          </w:p>
        </w:tc>
        <w:tc>
          <w:tcPr>
            <w:tcW w:w="350" w:type="dxa"/>
            <w:tcBorders/>
            <w:vAlign w:val="bottom"/>
          </w:tcPr>
          <w:p>
            <w:pPr>
              <w:pStyle w:val="TableContents"/>
              <w:bidi w:val="0"/>
              <w:spacing w:before="0" w:after="283"/>
              <w:jc w:val="left"/>
              <w:rPr/>
            </w:pPr>
            <w:r>
              <w:rPr/>
              <w:t>(5)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791" w:type="dxa"/>
            <w:tcBorders/>
            <w:vAlign w:val="bottom"/>
          </w:tcPr>
          <w:p>
            <w:pPr>
              <w:pStyle w:val="TableContents"/>
              <w:bidi w:val="0"/>
              <w:spacing w:before="0" w:after="283"/>
              <w:jc w:val="right"/>
              <w:rPr/>
            </w:pPr>
            <w:r>
              <w:rPr/>
              <w:t>65.67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4/1/2035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106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47,140</w:t>
            </w:r>
          </w:p>
        </w:tc>
        <w:tc>
          <w:tcPr>
            <w:tcW w:w="350" w:type="dxa"/>
            <w:tcBorders/>
            <w:shd w:fill="CCEEFF" w:val="clear"/>
            <w:vAlign w:val="bottom"/>
          </w:tcPr>
          <w:p>
            <w:pPr>
              <w:pStyle w:val="TableContents"/>
              <w:bidi w:val="0"/>
              <w:spacing w:before="0" w:after="283"/>
              <w:jc w:val="left"/>
              <w:rPr/>
            </w:pPr>
            <w:r>
              <w:rPr/>
              <w:t>(1)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9/4/2030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12,462</w:t>
            </w:r>
          </w:p>
        </w:tc>
        <w:tc>
          <w:tcPr>
            <w:tcW w:w="350" w:type="dxa"/>
            <w:tcBorders/>
            <w:shd w:fill="CCEEFF" w:val="clear"/>
            <w:vAlign w:val="bottom"/>
          </w:tcPr>
          <w:p>
            <w:pPr>
              <w:pStyle w:val="TableContents"/>
              <w:bidi w:val="0"/>
              <w:spacing w:before="0" w:after="283"/>
              <w:jc w:val="left"/>
              <w:rPr/>
            </w:pPr>
            <w:r>
              <w:rPr/>
              <w:t>(2) </w:t>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935,273</w:t>
            </w:r>
          </w:p>
        </w:tc>
        <w:tc>
          <w:tcPr>
            <w:tcW w:w="60" w:type="dxa"/>
            <w:tcBorders/>
            <w:shd w:fill="CCEEFF" w:val="clear"/>
            <w:vAlign w:val="bottom"/>
          </w:tcPr>
          <w:p>
            <w:pPr>
              <w:pStyle w:val="TableContents"/>
              <w:bidi w:val="0"/>
              <w:spacing w:before="0" w:after="283"/>
              <w:jc w:val="left"/>
              <w:rPr/>
            </w:pPr>
            <w:r>
              <w:rPr/>
              <w:t> </w:t>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3,562</w:t>
            </w:r>
          </w:p>
        </w:tc>
        <w:tc>
          <w:tcPr>
            <w:tcW w:w="350" w:type="dxa"/>
            <w:tcBorders/>
            <w:shd w:fill="CCEEFF" w:val="clear"/>
            <w:vAlign w:val="bottom"/>
          </w:tcPr>
          <w:p>
            <w:pPr>
              <w:pStyle w:val="TableContents"/>
              <w:bidi w:val="0"/>
              <w:spacing w:before="0" w:after="283"/>
              <w:jc w:val="left"/>
              <w:rPr/>
            </w:pPr>
            <w:r>
              <w:rPr/>
              <w:t>(3)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267,328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79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6,601</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495,405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81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19,702</w:t>
            </w:r>
          </w:p>
        </w:tc>
        <w:tc>
          <w:tcPr>
            <w:tcW w:w="350" w:type="dxa"/>
            <w:tcBorders/>
            <w:shd w:fill="CCEEFF" w:val="clear"/>
            <w:vAlign w:val="bottom"/>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791" w:type="dxa"/>
            <w:tcBorders/>
            <w:shd w:fill="CCEEFF" w:val="clear"/>
            <w:vAlign w:val="bottom"/>
          </w:tcPr>
          <w:p>
            <w:pPr>
              <w:pStyle w:val="TableContents"/>
              <w:bidi w:val="0"/>
              <w:spacing w:before="0" w:after="283"/>
              <w:jc w:val="right"/>
              <w:rPr/>
            </w:pPr>
            <w:r>
              <w:rPr/>
              <w:t>65.67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4/1/2035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September 4, 2020, each of our NEOs received an award of stock options that is comprised of three equal tranches, with each tranche subject to both time-vesting and performance-vesting conditions. The stock options time-vested ratably on each of the first three anniversaries of June 19, 2020, subject to the NEO’s continued employment through the applicable vesting date. The stock options performance-vest based on the achievement of specified total enterprise value (“TEV”) levels, such that the NEO will only performance-vest if and when (i) a “change of control” (as defined in the 2020 Management Incentive Plan), an initial public offering or September 4, 2027 occurs and (ii) the implied TEV as of such time equals or exceeds the specified TEV threshold for such tranche.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June 9, 2022, each of our NEOs received an award of PSUs subject to both time-based and performance- based vesting conditions. The PSUs performance-vest based on the achievement of specified TEV levels, such that the NEO will only performance-vest if and when (i) a “change of control” (as defined in the 2020 Management Incentive Plan), an initial public offering or September 4, 2027 occurs, subject to the NEO’s continued service until such date, and (ii) the implied TEV as of such time equals or exceeds the specified TEV threshold for such tranche.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March 23, 2023, each of our NEOs received an award of RSUs, all of which are subject to time-based vesting conditions only. The first one-half of the award vested and became settleable immediately on the grant date. The remainder of the award vested and became settleable (or will vest and become settleable, as applicable) in three equal tranches on February 15th of each of 2024, 2025 and 2026,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1, 2025, each of our NEOs received an award of RSUs, all of which are subject to time-based vesting conditions only. The RSUs vest ratably on each of the first three anniversaries of February 15, 2025,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1, 2025, each of our NEOs received an award of stock options, all of which are subject to time-based vesting conditions only. The NQSOs vest ratably on each of the first three anniversaries of February 15, 2025, subject to the NEO’s continued service through the applicable vesting date (except in the case of the NEO’s “qualifying termination” occurring prior to the end of the vesting period, in which case the NEO will be entitled to vest in the next tranche of his NQSOs that is scheduled to vest on the next vesting date). Notwithstanding the foregoing, all of an NEO’s unvested NQSOs will fully vest upon the consummation of a “change of control,” subject to the NEO’s continued service through the date of such “change of control.”.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by multiplying (i) the number of shares of our common stock underlying the unvested portion of the RSU or PSU award, as applicable, by (ii) $75.05, which is the fair market value of a share of our common stock as of December 31, 2025 and the price used for the 2025 Tender Offer in December 2025.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Option Exercises and Stock Vested in the 2025 Fiscal Year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on an aggregate basis, about our NEOs’ stock awards that vested during Fiscal 2025. None of our NEOs exercised stock options in Fiscal 2025.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76"/>
        <w:gridCol w:w="280"/>
        <w:gridCol w:w="134"/>
        <w:gridCol w:w="1286"/>
        <w:gridCol w:w="60"/>
        <w:gridCol w:w="280"/>
        <w:gridCol w:w="108"/>
        <w:gridCol w:w="1471"/>
        <w:gridCol w:w="60"/>
        <w:gridCol w:w="280"/>
        <w:gridCol w:w="106"/>
        <w:gridCol w:w="1234"/>
        <w:gridCol w:w="60"/>
        <w:gridCol w:w="280"/>
        <w:gridCol w:w="69"/>
        <w:gridCol w:w="1139"/>
        <w:gridCol w:w="65"/>
      </w:tblGrid>
      <w:tr>
        <w:trPr/>
        <w:tc>
          <w:tcPr>
            <w:tcW w:w="2476"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476"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480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c>
          <w:tcPr>
            <w:tcW w:w="65" w:type="dxa"/>
            <w:tcBorders/>
            <w:vAlign w:val="bottom"/>
          </w:tcPr>
          <w:p>
            <w:pPr>
              <w:pStyle w:val="TableContents"/>
              <w:bidi w:val="0"/>
              <w:spacing w:before="0" w:after="283"/>
              <w:jc w:val="left"/>
              <w:rPr/>
            </w:pPr>
            <w:r>
              <w:rPr/>
              <w:t> </w:t>
            </w:r>
          </w:p>
        </w:tc>
      </w:tr>
      <w:tr>
        <w:trPr/>
        <w:tc>
          <w:tcPr>
            <w:tcW w:w="24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0"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Acquired on</w:t>
              <w:br/>
              <w:t>Exercise (#)(1)</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 Realized</w:t>
              <w:br/>
              <w:t>on Exercise</w:t>
              <w:br/>
              <w:t>($)(2)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Acquired on</w:t>
              <w:br/>
              <w:t>Vesting (#)(3)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Value</w:t>
              <w:br/>
              <w:t>Realized on</w:t>
              <w:br/>
              <w:t>Vesting</w:t>
              <w:br/>
              <w:t>($)(4)</w:t>
            </w:r>
          </w:p>
        </w:tc>
        <w:tc>
          <w:tcPr>
            <w:tcW w:w="65" w:type="dxa"/>
            <w:tcBorders/>
            <w:vAlign w:val="bottom"/>
          </w:tcPr>
          <w:p>
            <w:pPr>
              <w:pStyle w:val="TableContents"/>
              <w:bidi w:val="0"/>
              <w:spacing w:before="0" w:after="283"/>
              <w:jc w:val="left"/>
              <w:rPr/>
            </w:pPr>
            <w:r>
              <w:rPr/>
              <w:t> </w:t>
            </w:r>
          </w:p>
        </w:tc>
      </w:tr>
      <w:tr>
        <w:trPr/>
        <w:tc>
          <w:tcPr>
            <w:tcW w:w="2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28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4,492</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277,174</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28,878</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1,982,311</w:t>
            </w:r>
          </w:p>
        </w:tc>
        <w:tc>
          <w:tcPr>
            <w:tcW w:w="65" w:type="dxa"/>
            <w:tcBorders/>
            <w:shd w:fill="CCEEFF" w:val="clear"/>
            <w:vAlign w:val="bottom"/>
          </w:tcPr>
          <w:p>
            <w:pPr>
              <w:pStyle w:val="TableContents"/>
              <w:bidi w:val="0"/>
              <w:spacing w:before="0" w:after="283"/>
              <w:jc w:val="left"/>
              <w:rPr/>
            </w:pPr>
            <w:r>
              <w:rPr/>
              <w:t> </w:t>
            </w:r>
          </w:p>
        </w:tc>
      </w:tr>
      <w:tr>
        <w:trPr/>
        <w:tc>
          <w:tcPr>
            <w:tcW w:w="2476"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28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1,862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115,445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12,013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824,485</w:t>
            </w:r>
          </w:p>
        </w:tc>
        <w:tc>
          <w:tcPr>
            <w:tcW w:w="65" w:type="dxa"/>
            <w:tcBorders/>
            <w:vAlign w:val="bottom"/>
          </w:tcPr>
          <w:p>
            <w:pPr>
              <w:pStyle w:val="TableContents"/>
              <w:bidi w:val="0"/>
              <w:spacing w:before="0" w:after="283"/>
              <w:jc w:val="left"/>
              <w:rPr/>
            </w:pPr>
            <w:r>
              <w:rPr/>
              <w:t> </w:t>
            </w:r>
          </w:p>
        </w:tc>
      </w:tr>
      <w:tr>
        <w:trPr/>
        <w:tc>
          <w:tcPr>
            <w:tcW w:w="2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28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1,862</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115,445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12,013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824,485</w:t>
            </w:r>
          </w:p>
        </w:tc>
        <w:tc>
          <w:tcPr>
            <w:tcW w:w="65" w:type="dxa"/>
            <w:tcBorders/>
            <w:shd w:fill="CCEEFF" w:val="clear"/>
            <w:vAlign w:val="bottom"/>
          </w:tcPr>
          <w:p>
            <w:pPr>
              <w:pStyle w:val="TableContents"/>
              <w:bidi w:val="0"/>
              <w:spacing w:before="0" w:after="283"/>
              <w:jc w:val="left"/>
              <w:rPr/>
            </w:pPr>
            <w:r>
              <w:rPr/>
              <w:t> </w:t>
            </w:r>
          </w:p>
        </w:tc>
      </w:tr>
      <w:tr>
        <w:trPr/>
        <w:tc>
          <w:tcPr>
            <w:tcW w:w="2476"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28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286" w:type="dxa"/>
            <w:tcBorders/>
            <w:vAlign w:val="bottom"/>
          </w:tcPr>
          <w:p>
            <w:pPr>
              <w:pStyle w:val="TableContents"/>
              <w:bidi w:val="0"/>
              <w:spacing w:before="0" w:after="283"/>
              <w:jc w:val="right"/>
              <w:rPr/>
            </w:pPr>
            <w:r>
              <w:rPr/>
              <w:t>1,862</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right"/>
              <w:rPr/>
            </w:pPr>
            <w:r>
              <w:rPr/>
              <w:t>115,445</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12,013</w:t>
            </w:r>
          </w:p>
        </w:tc>
        <w:tc>
          <w:tcPr>
            <w:tcW w:w="60"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39" w:type="dxa"/>
            <w:tcBorders/>
            <w:vAlign w:val="bottom"/>
          </w:tcPr>
          <w:p>
            <w:pPr>
              <w:pStyle w:val="TableContents"/>
              <w:bidi w:val="0"/>
              <w:spacing w:before="0" w:after="283"/>
              <w:jc w:val="right"/>
              <w:rPr/>
            </w:pPr>
            <w:r>
              <w:rPr/>
              <w:t>824,485</w:t>
            </w:r>
          </w:p>
        </w:tc>
        <w:tc>
          <w:tcPr>
            <w:tcW w:w="65" w:type="dxa"/>
            <w:tcBorders/>
            <w:vAlign w:val="bottom"/>
          </w:tcPr>
          <w:p>
            <w:pPr>
              <w:pStyle w:val="TableContents"/>
              <w:bidi w:val="0"/>
              <w:spacing w:before="0" w:after="283"/>
              <w:jc w:val="left"/>
              <w:rPr/>
            </w:pPr>
            <w:r>
              <w:rPr/>
              <w:t> </w:t>
            </w:r>
          </w:p>
        </w:tc>
      </w:tr>
      <w:tr>
        <w:trPr/>
        <w:tc>
          <w:tcPr>
            <w:tcW w:w="24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28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286" w:type="dxa"/>
            <w:tcBorders/>
            <w:shd w:fill="CCEEFF" w:val="clear"/>
            <w:vAlign w:val="bottom"/>
          </w:tcPr>
          <w:p>
            <w:pPr>
              <w:pStyle w:val="TableContents"/>
              <w:bidi w:val="0"/>
              <w:spacing w:before="0" w:after="283"/>
              <w:jc w:val="right"/>
              <w:rPr/>
            </w:pPr>
            <w:r>
              <w:rPr/>
              <w:t>1,862</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right"/>
              <w:rPr/>
            </w:pPr>
            <w:r>
              <w:rPr/>
              <w:t>115,445</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12,013</w:t>
            </w:r>
          </w:p>
        </w:tc>
        <w:tc>
          <w:tcPr>
            <w:tcW w:w="60"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39" w:type="dxa"/>
            <w:tcBorders/>
            <w:shd w:fill="CCEEFF" w:val="clear"/>
            <w:vAlign w:val="bottom"/>
          </w:tcPr>
          <w:p>
            <w:pPr>
              <w:pStyle w:val="TableContents"/>
              <w:bidi w:val="0"/>
              <w:spacing w:before="0" w:after="283"/>
              <w:jc w:val="right"/>
              <w:rPr/>
            </w:pPr>
            <w:r>
              <w:rPr/>
              <w:t>824,485</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the number of stock options that were granted to each NEO on September 4, 2020 and April 1, 2025, for which vesting was accelerated and the underlying shares cashed out in connection with the MIP buyback.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vesting was calculated by multiplying the number of options that vested in connection with the MIP buyback by (a) for the stock options granted on September 4, 2020, $65.05, which represents the excess of the price at which shares underlying the vested options were cashed out in connection with the MIP buyback, which is $75.05, over the exercise price of the stock options, which is $10.00, and (b) for the stock options granted on April 1, 2025, $9.38, which represents the excess of the price at which shares underlying the vested options were cashed out in connection with the MIP buyback, which is $75.05, over the exercise price of the stock options, which is $10.00.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reported in this column represent (i) RSUs that were granted to each NEO on March 23, 2023, of which 16.67% vested and became settleable on February 15, 2025 and (ii) the portion of RSUs that were granted to each NEO on March 23, 2023 and the portion of PSUs that were granted to each NEO on June 9, 2022, for which vesting was accelerated and the underlying shares cashed out in connection with the MIP buyback.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realized on vesting was calculated by multiplying (i) the number of RSUs that vested in February 2025 by the fair market value of a share of our common stock as of April 1, 2025 (i.e., $64.34) and (ii) the number of RSUs and PSUs that vested in connection with the MIP buyback by $75.05, which was the price at which shares underlying the vested RSUs and PSUs were cashed out in connection with the MIP buyback.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Non-Qualified Deferred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on an aggregate basis, about our NEOs’ vested RSUs for which settlement was deferred during Fiscal 2023, and our fiscal years ended December 31, 2022 (“Fiscal 2022”) and December 31, 2021 (“Fiscal 2021”). There were no vested RSUs for which settlement was deferred in Fiscal 2024 or Fiscal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15"/>
        <w:gridCol w:w="287"/>
        <w:gridCol w:w="60"/>
        <w:gridCol w:w="1114"/>
        <w:gridCol w:w="63"/>
      </w:tblGrid>
      <w:tr>
        <w:trPr/>
        <w:tc>
          <w:tcPr>
            <w:tcW w:w="5415"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7"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Balance at</w:t>
              <w:br/>
              <w:t>Last FYE(1)</w:t>
              <w:br/>
              <w:t>($)</w:t>
            </w:r>
          </w:p>
        </w:tc>
        <w:tc>
          <w:tcPr>
            <w:tcW w:w="63" w:type="dxa"/>
            <w:tcBorders/>
            <w:vAlign w:val="bottom"/>
          </w:tcPr>
          <w:p>
            <w:pPr>
              <w:pStyle w:val="TableContents"/>
              <w:bidi w:val="0"/>
              <w:spacing w:before="0" w:after="283"/>
              <w:jc w:val="left"/>
              <w:rPr/>
            </w:pPr>
            <w:r>
              <w:rPr/>
              <w:t> </w:t>
            </w:r>
          </w:p>
        </w:tc>
      </w:tr>
      <w:tr>
        <w:trPr/>
        <w:tc>
          <w:tcPr>
            <w:tcW w:w="5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w:t>
            </w:r>
          </w:p>
        </w:tc>
        <w:tc>
          <w:tcPr>
            <w:tcW w:w="2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15,925,235</w:t>
            </w:r>
          </w:p>
        </w:tc>
        <w:tc>
          <w:tcPr>
            <w:tcW w:w="63" w:type="dxa"/>
            <w:tcBorders/>
            <w:shd w:fill="CCEEFF" w:val="clear"/>
            <w:vAlign w:val="bottom"/>
          </w:tcPr>
          <w:p>
            <w:pPr>
              <w:pStyle w:val="TableContents"/>
              <w:bidi w:val="0"/>
              <w:spacing w:before="0" w:after="283"/>
              <w:jc w:val="left"/>
              <w:rPr/>
            </w:pPr>
            <w:r>
              <w:rPr/>
              <w:t> </w:t>
            </w:r>
          </w:p>
        </w:tc>
      </w:tr>
      <w:tr>
        <w:trPr/>
        <w:tc>
          <w:tcPr>
            <w:tcW w:w="5415" w:type="dxa"/>
            <w:tcBorders/>
          </w:tcPr>
          <w:p>
            <w:pPr>
              <w:pStyle w:val="TableContents"/>
              <w:bidi w:val="0"/>
              <w:spacing w:before="0" w:after="0"/>
              <w:jc w:val="left"/>
              <w:rPr>
                <w:rFonts w:ascii="Times New Roman" w:hAnsi="Times New Roman"/>
                <w:sz w:val="20"/>
              </w:rPr>
            </w:pPr>
            <w:r>
              <w:rPr>
                <w:rFonts w:ascii="Times New Roman" w:hAnsi="Times New Roman"/>
                <w:sz w:val="20"/>
              </w:rPr>
              <w:t>James O. Harp, Jr.</w:t>
            </w:r>
          </w:p>
        </w:tc>
        <w:tc>
          <w:tcPr>
            <w:tcW w:w="2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6,635,546</w:t>
            </w:r>
          </w:p>
        </w:tc>
        <w:tc>
          <w:tcPr>
            <w:tcW w:w="63" w:type="dxa"/>
            <w:tcBorders/>
            <w:vAlign w:val="bottom"/>
          </w:tcPr>
          <w:p>
            <w:pPr>
              <w:pStyle w:val="TableContents"/>
              <w:bidi w:val="0"/>
              <w:spacing w:before="0" w:after="283"/>
              <w:jc w:val="left"/>
              <w:rPr/>
            </w:pPr>
            <w:r>
              <w:rPr/>
              <w:t> </w:t>
            </w:r>
          </w:p>
        </w:tc>
      </w:tr>
      <w:tr>
        <w:trPr/>
        <w:tc>
          <w:tcPr>
            <w:tcW w:w="5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Giberga</w:t>
            </w:r>
          </w:p>
        </w:tc>
        <w:tc>
          <w:tcPr>
            <w:tcW w:w="2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6,635,546</w:t>
            </w:r>
          </w:p>
        </w:tc>
        <w:tc>
          <w:tcPr>
            <w:tcW w:w="63" w:type="dxa"/>
            <w:tcBorders/>
            <w:shd w:fill="CCEEFF" w:val="clear"/>
            <w:vAlign w:val="bottom"/>
          </w:tcPr>
          <w:p>
            <w:pPr>
              <w:pStyle w:val="TableContents"/>
              <w:bidi w:val="0"/>
              <w:spacing w:before="0" w:after="283"/>
              <w:jc w:val="left"/>
              <w:rPr/>
            </w:pPr>
            <w:r>
              <w:rPr/>
              <w:t> </w:t>
            </w:r>
          </w:p>
        </w:tc>
      </w:tr>
      <w:tr>
        <w:trPr/>
        <w:tc>
          <w:tcPr>
            <w:tcW w:w="5415" w:type="dxa"/>
            <w:tcBorders/>
          </w:tcPr>
          <w:p>
            <w:pPr>
              <w:pStyle w:val="TableContents"/>
              <w:bidi w:val="0"/>
              <w:spacing w:before="0" w:after="0"/>
              <w:jc w:val="left"/>
              <w:rPr>
                <w:rFonts w:ascii="Times New Roman" w:hAnsi="Times New Roman"/>
                <w:sz w:val="20"/>
              </w:rPr>
            </w:pPr>
            <w:r>
              <w:rPr>
                <w:rFonts w:ascii="Times New Roman" w:hAnsi="Times New Roman"/>
                <w:sz w:val="20"/>
              </w:rPr>
              <w:t>John S. Cook</w:t>
            </w:r>
          </w:p>
        </w:tc>
        <w:tc>
          <w:tcPr>
            <w:tcW w:w="2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6,635,546</w:t>
            </w:r>
          </w:p>
        </w:tc>
        <w:tc>
          <w:tcPr>
            <w:tcW w:w="63" w:type="dxa"/>
            <w:tcBorders/>
            <w:vAlign w:val="bottom"/>
          </w:tcPr>
          <w:p>
            <w:pPr>
              <w:pStyle w:val="TableContents"/>
              <w:bidi w:val="0"/>
              <w:spacing w:before="0" w:after="283"/>
              <w:jc w:val="left"/>
              <w:rPr/>
            </w:pPr>
            <w:r>
              <w:rPr/>
              <w:t> </w:t>
            </w:r>
          </w:p>
        </w:tc>
      </w:tr>
      <w:tr>
        <w:trPr/>
        <w:tc>
          <w:tcPr>
            <w:tcW w:w="54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Carl G. Annessa</w:t>
            </w:r>
          </w:p>
        </w:tc>
        <w:tc>
          <w:tcPr>
            <w:tcW w:w="2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6,635,546</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balance was calculated by multiplying (i) the aggregate number of RSUs that vested and was deferred during Fiscal 2023, Fiscal 2022 and Fiscal 2021, by (ii) $75.05, which is the fair market value of a share of our common stock as of December 31, 2025 and the price used for the 2025 Tender Offer in December 2025. None of these RSUs will be settled until the earlier to occur of a “change of control” and September 4, 2027. Upon such settlement, amounts in this column will reflect any Dividend Equivalents that were previously accrued during the prior periods and be net of any vested RSUs that are used to satisfy any tax withholding obligations.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Payments Upon Termination or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In this section, we describe payments and benefits that may be made to our NEOs upon the occurrence of certain terminations of employment and/or a change of control, assuming that such event occurred on the last day of Fiscal 2025. We note that this offering would not result in any payments or benefits to our NEOs or acceleration of equity awards to our NEOs, but upon this offering, the performance vesting of the outstanding performance-based stock options and PSUs held by our NEOs will be measured based on our achievement of certain TEV levels.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Payments upon Termination of Employment due to Death or Disability </w:t>
      </w:r>
    </w:p>
    <w:p>
      <w:pPr>
        <w:pStyle w:val="TextBody"/>
        <w:bidi w:val="0"/>
        <w:spacing w:before="120" w:after="0"/>
        <w:jc w:val="left"/>
        <w:rPr>
          <w:rFonts w:ascii="Times New Roman" w:hAnsi="Times New Roman"/>
          <w:sz w:val="20"/>
        </w:rPr>
      </w:pPr>
      <w:r>
        <w:rPr>
          <w:rFonts w:ascii="Times New Roman" w:hAnsi="Times New Roman"/>
          <w:sz w:val="20"/>
        </w:rPr>
        <w:t xml:space="preserve">The EAs provide that upon a termination of the NEO’s employment due to the NEO’s death or “disability” (as defined therein), the NEO will receive the following severance benefits: (i) a pro-rata annual bonus, based on actual performance for the year in which the termination occurs, and (ii) reimbursement for the employer portion of the NEO’s COBRA premiums for 12 months. </w:t>
      </w:r>
    </w:p>
    <w:p>
      <w:pPr>
        <w:pStyle w:val="TextBody"/>
        <w:bidi w:val="0"/>
        <w:spacing w:before="240" w:after="0"/>
        <w:jc w:val="left"/>
        <w:rPr>
          <w:rFonts w:ascii="Times New Roman" w:hAnsi="Times New Roman"/>
          <w:sz w:val="20"/>
        </w:rPr>
      </w:pPr>
      <w:r>
        <w:rPr>
          <w:rFonts w:ascii="Times New Roman" w:hAnsi="Times New Roman"/>
          <w:sz w:val="20"/>
        </w:rPr>
        <w:t xml:space="preserve">Each NEO’s outstanding stock options that have time-vested as of such NEO’s termination due to death or “disability” will remain outstanding and eligible to performance-vest to the extent the applicable performance conditions are actually achieved.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upon a Termination of Employment without Cause or for Good Reason </w:t>
      </w:r>
    </w:p>
    <w:p>
      <w:pPr>
        <w:pStyle w:val="TextBody"/>
        <w:bidi w:val="0"/>
        <w:spacing w:before="120" w:after="0"/>
        <w:jc w:val="left"/>
        <w:rPr>
          <w:rFonts w:ascii="Times New Roman" w:hAnsi="Times New Roman"/>
          <w:sz w:val="20"/>
        </w:rPr>
      </w:pPr>
      <w:r>
        <w:rPr>
          <w:rFonts w:ascii="Times New Roman" w:hAnsi="Times New Roman"/>
          <w:sz w:val="20"/>
        </w:rPr>
        <w:t xml:space="preserve">The EAs provide that upon a termination of the NEO’s employment by the Company without “cause” (including due to the Company’s non-renewal of the employment term) or by the NEO for “good reason” (each as defined therein and summarized below, and each such termination, a “Qualifying Termination”), subject to the NEO’s execution and non-revocation of a release of claims in favor of the Company, the NEO will receive the following severance benefits (the “Severance Benefits”): (i) 2 times (or, for Mr. Hornbeck only, 2.5 times) the sum of the NEO’s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 2-year period following (or within the 6-month period preceding) a “change of control,” then the (x) Severance Benefits will be payable in a lump sum to the NEO on or about the 60th day following such “change of control” and (y) Pro-Rata Annual Bonus will be determined based on deemed achievement of target performance for the fiscal year in which the termination occurs regardless of when the termination occurs during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Additionally, upon a Qualifying Termination, each NEO will (i) vest in the tranche of RSUs next scheduled to vest following such Qualifying Termination, if any; (ii) time-vest in the tranche of stock options next scheduled to time-vest following such Qualifying Termination, if any; and (iii) be entitled to, with respect to any stock options that have time-vested as of the Qualifying Termination date (after accounting for the acceleration set forth in clause (ii)), have such time-vested stock options remain outstanding and eligible to performance-vest to the extent the applicable performance conditions are actually achieved. </w:t>
      </w:r>
    </w:p>
    <w:p>
      <w:pPr>
        <w:pStyle w:val="TextBody"/>
        <w:bidi w:val="0"/>
        <w:spacing w:before="240" w:after="0"/>
        <w:jc w:val="left"/>
        <w:rPr>
          <w:rFonts w:ascii="Times New Roman" w:hAnsi="Times New Roman"/>
          <w:sz w:val="20"/>
        </w:rPr>
      </w:pPr>
      <w:r>
        <w:rPr>
          <w:rFonts w:ascii="Times New Roman" w:hAnsi="Times New Roman"/>
          <w:sz w:val="20"/>
        </w:rPr>
        <w:t xml:space="preserve">The EAs define “cause” as any of the NEO’s: (i) conviction of either (A) a felony involving moral turpitude or (B) any crime in connection with the NEO’s employment that causes the Company and each of its subsidiaries and affiliates (collectively, the “Company Group”) a substantial detriment (in each case, excluding traffic offenses); (ii) actions or inactions that clearly are contrary to the best interests of the Company Group and the express directives of our Board of Directors; provided, that, such actions or inactions by the NEO cause the Company Group a substantial detriment or could reasonably be expected to cause a substantial detriment to the Company Group as determined by the Board of Directors in good faith; (iii) willful failure to take actions permitted by law and necessary to implement policies of our Board of Directors that our Board of Directors has communicated to the NEO in writing; provided, that, such policies that are reflected in minutes of our Board of Directors meeting attended in its entirety by the NEO shall be deemed communicated to the NEO to the extent the NEO received a copy of such minutes from the secretary or the general counsel of the Company promptly following approval by our Board of Directors; (iv) continued failure to attend to the NEO’s material duties as an executive officer of the Company Group following the NEO’s receipt of written notice from our Board of Directors of such failure; provided, that, such failure by the NEO causes the Company Group a substantial detriment or could reasonably be expected to cause a substantial detriment to the Company Group as determined by our Board of Directors in good faith; (v) commission of an act of fraud or material act of dishonesty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misappropriation involving the Company Group; (vi) willful violation of law or gross negligence that is substantially detrimental to the Company; (vii) material breach or material violation of the EA or any other written agreement with a member of the Company Group, or any material violation of any written policy of the Company Group; provided, that, such material breach or material violation by the NEO causes the Company Group a substantial detriment or could reasonably be expected to cause a substantial detriment to the Company Group as determined by the Board of Directors in good faith; or (viii) habitual use of illicit drugs or habitual abuse of alcohol that, in the reasonable good faith opinion of our Board of Directors, renders the NEO unfit to serve as an officer of the Company Group. If any determination of habitual use or substantial dependence under clause (viii) is disputed by the NEO, the Company and the NEO agree to abide by the decision of a panel of 3 physicians appointed in the manner specified in the applicable EA. For purposes of this “cause” definition, no action or inaction will be considered “willful” or constitute “gross negligence,” if the NEO had a reasonable, good faith belief that such action or inaction was in the best interests of the Company Group. Anything in the EA to the contrary notwithstanding, the NEO shall not be terminated for “cause” under the EA, unless (A) written notice stating the basis for the termination is provided to the NEO, and (B) with the exception of the NEO’s conviction of either a felony involving moral turpitude or any crime in connection with the NEO’s employment that causes the Company Group a substantial detriment (in each case, excluding traffic offenses), the NEO is given 10 business days to cure the neglect or conduct that is the basis of such claim, to the extent curable. </w:t>
      </w:r>
    </w:p>
    <w:p>
      <w:pPr>
        <w:pStyle w:val="TextBody"/>
        <w:bidi w:val="0"/>
        <w:spacing w:before="240" w:after="0"/>
        <w:jc w:val="left"/>
        <w:rPr>
          <w:rFonts w:ascii="Times New Roman" w:hAnsi="Times New Roman"/>
          <w:sz w:val="20"/>
        </w:rPr>
      </w:pPr>
      <w:r>
        <w:rPr>
          <w:rFonts w:ascii="Times New Roman" w:hAnsi="Times New Roman"/>
          <w:sz w:val="20"/>
        </w:rPr>
        <w:t xml:space="preserve">The EAs define “good reason” as, unless otherwise agreed to in writing by the NEO, (i) any material diminution in the NEO’s titles, duties, responsibilities, status or authorities with the Company or any of its material operating subsidiaries; (ii) a material reduction in the NEO’s base salary or target bonus; (iii) a relocation of the NEO’s primary place of employment to a location more than 35 miles farther from the NEO’s primary residence than the current location of the Company’s offices in Louisiana as of June 19, 2020; or (iv) a material breach by the Company of the EA or any other agreement between the Company and the NEO. In order to invoke a termination for “good reason,” (A) the NEO must provide written notice within 45 days of the NEO becoming aware of the occurrence of any event of “good reason”; (B) the Company must fail to cure such event within 30 days of the giving of such notice; and (C) the NEO must terminate employment within 45 days following the expiration of the Company’s cure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upon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Upon a “change of control,” (i) 100% of the NEO’s then-unvested RSUs will accelerate and vest; (ii) the time-vesting condition of the NEO’s then-unvested stock options will be deemed fully satisfied; and (iii) the NEO’s then-unvested PSUs will vest only if the applicable performance hurdles are achieved in connection with such change of control. Upon a “Qualifying Termination” (as described above) in connection with a change of control, each NEO shall be entitled to the Severance Benefits described above in the section titled “—Payments upon a Termination of Employment without Cause or for Good Reason,” except that the NEO shall be entitled to the Pro-Rata Annual Bonus regardless if such termination occurs prior to the midpoint of the fiscal year and shall be based on target performance and all amounts shall be paid in a lump sum.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sets forth the estimated payments and benefits payable upon the occurrence of the events described in this section. In estimating the value of such payments, the table assumes that (i) the NEO’s employment was terminated and/or a “change of control” occurred, in each case on December 31, 2025; (ii) each NEO’s compensation rates were the same as in effect on December 31, 2025; and (iii) the market value of the stock awards is based on $75.05, which is the fair market value of a share of our common stock as of December 31, 2025 and the price used for the 2025 Tender Offer in December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73"/>
        <w:gridCol w:w="142"/>
        <w:gridCol w:w="2600"/>
        <w:gridCol w:w="60"/>
        <w:gridCol w:w="74"/>
        <w:gridCol w:w="1223"/>
        <w:gridCol w:w="142"/>
        <w:gridCol w:w="60"/>
        <w:gridCol w:w="74"/>
        <w:gridCol w:w="1223"/>
        <w:gridCol w:w="191"/>
        <w:gridCol w:w="60"/>
        <w:gridCol w:w="90"/>
        <w:gridCol w:w="1212"/>
        <w:gridCol w:w="192"/>
        <w:gridCol w:w="60"/>
        <w:gridCol w:w="62"/>
        <w:gridCol w:w="1167"/>
        <w:gridCol w:w="200"/>
      </w:tblGrid>
      <w:tr>
        <w:trPr/>
        <w:tc>
          <w:tcPr>
            <w:tcW w:w="137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r>
      <w:tr>
        <w:trPr/>
        <w:tc>
          <w:tcPr>
            <w:tcW w:w="13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Officer</w:t>
            </w:r>
          </w:p>
        </w:tc>
        <w:tc>
          <w:tcPr>
            <w:tcW w:w="142" w:type="dxa"/>
            <w:tcBorders/>
            <w:vAlign w:val="bottom"/>
          </w:tcPr>
          <w:p>
            <w:pPr>
              <w:pStyle w:val="TableContents"/>
              <w:bidi w:val="0"/>
              <w:spacing w:before="0" w:after="283"/>
              <w:jc w:val="left"/>
              <w:rPr/>
            </w:pPr>
            <w:r>
              <w:rPr/>
              <w:t> </w:t>
            </w:r>
          </w:p>
        </w:tc>
        <w:tc>
          <w:tcPr>
            <w:tcW w:w="26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Type of Payment</w:t>
            </w:r>
          </w:p>
        </w:tc>
        <w:tc>
          <w:tcPr>
            <w:tcW w:w="6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w:t>
              <w:br/>
              <w:t>Without</w:t>
              <w:br/>
              <w:t>Cause</w:t>
              <w:br/>
              <w:t>or for Good</w:t>
              <w:br/>
              <w:t>Reason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w:t>
              <w:br/>
              <w:t>Due to</w:t>
              <w:br/>
              <w:t>Death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w:t>
              <w:br/>
              <w:t>Due to</w:t>
              <w:br/>
              <w:t>Disability</w:t>
              <w:br/>
              <w:t>($)</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Occurrence</w:t>
              <w:br/>
              <w:t>of a Change</w:t>
              <w:br/>
              <w:t>of Control</w:t>
            </w:r>
          </w:p>
        </w:tc>
        <w:tc>
          <w:tcPr>
            <w:tcW w:w="200" w:type="dxa"/>
            <w:tcBorders/>
            <w:vAlign w:val="bottom"/>
          </w:tcPr>
          <w:p>
            <w:pPr>
              <w:pStyle w:val="TableContents"/>
              <w:bidi w:val="0"/>
              <w:spacing w:before="0" w:after="283"/>
              <w:jc w:val="left"/>
              <w:rPr/>
            </w:pPr>
            <w:r>
              <w:rPr/>
              <w:t> </w:t>
            </w:r>
          </w:p>
        </w:tc>
      </w:tr>
      <w:tr>
        <w:trPr/>
        <w:tc>
          <w:tcPr>
            <w:tcW w:w="1373" w:type="dxa"/>
            <w:vMerge w:val="restart"/>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Todd M. Hornbeck</w:t>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Cash Severance</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3,750,000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Stock Award Vesting(2)</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1,226,005</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12,007,343</w:t>
            </w:r>
          </w:p>
        </w:tc>
        <w:tc>
          <w:tcPr>
            <w:tcW w:w="200" w:type="dxa"/>
            <w:tcBorders/>
            <w:shd w:fill="CCEEFF" w:val="clear"/>
            <w:vAlign w:val="bottom"/>
          </w:tcPr>
          <w:p>
            <w:pPr>
              <w:pStyle w:val="TableContents"/>
              <w:bidi w:val="0"/>
              <w:spacing w:before="0" w:after="283"/>
              <w:jc w:val="left"/>
              <w:rPr/>
            </w:pPr>
            <w:r>
              <w:rPr/>
              <w:t> </w:t>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Pro-Rata Annual Bonus(1)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750,000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750,000</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750,000</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Health and Welfare Benefits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223,123</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347,656</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90,455</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5,949,128</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1,097,656</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840,455</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12,007,343</w:t>
            </w:r>
          </w:p>
        </w:tc>
        <w:tc>
          <w:tcPr>
            <w:tcW w:w="200" w:type="dxa"/>
            <w:tcBorders/>
            <w:shd w:fill="CCEEFF" w:val="clear"/>
            <w:vAlign w:val="bottom"/>
          </w:tcPr>
          <w:p>
            <w:pPr>
              <w:pStyle w:val="TableContents"/>
              <w:bidi w:val="0"/>
              <w:spacing w:before="0" w:after="283"/>
              <w:jc w:val="left"/>
              <w:rPr/>
            </w:pPr>
            <w:r>
              <w:rPr/>
              <w:t> </w:t>
            </w:r>
          </w:p>
        </w:tc>
      </w:tr>
      <w:tr>
        <w:trPr>
          <w:trHeight w:val="120" w:hRule="atLeast"/>
        </w:trPr>
        <w:tc>
          <w:tcPr>
            <w:tcW w:w="1373" w:type="dxa"/>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1499" w:type="dxa"/>
            <w:gridSpan w:val="4"/>
            <w:tcBorders/>
            <w:vAlign w:val="center"/>
          </w:tcPr>
          <w:p>
            <w:pPr>
              <w:pStyle w:val="TableContents"/>
              <w:bidi w:val="0"/>
              <w:spacing w:before="0" w:after="283"/>
              <w:jc w:val="left"/>
              <w:rPr>
                <w:sz w:val="4"/>
                <w:szCs w:val="4"/>
              </w:rPr>
            </w:pPr>
            <w:r>
              <w:rPr>
                <w:sz w:val="4"/>
                <w:szCs w:val="4"/>
              </w:rPr>
            </w:r>
          </w:p>
        </w:tc>
        <w:tc>
          <w:tcPr>
            <w:tcW w:w="1548" w:type="dxa"/>
            <w:gridSpan w:val="4"/>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373" w:type="dxa"/>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James O. Harp, Jr.</w:t>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Cash Severance</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1,600,000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373"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Stock Award Vesting(2)</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494,046</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4,949,268</w:t>
            </w:r>
          </w:p>
        </w:tc>
        <w:tc>
          <w:tcPr>
            <w:tcW w:w="200" w:type="dxa"/>
            <w:tcBorders/>
            <w:vAlign w:val="bottom"/>
          </w:tcPr>
          <w:p>
            <w:pPr>
              <w:pStyle w:val="TableContents"/>
              <w:bidi w:val="0"/>
              <w:spacing w:before="0" w:after="283"/>
              <w:jc w:val="left"/>
              <w:rPr/>
            </w:pPr>
            <w:r>
              <w:rPr/>
              <w:t> </w:t>
            </w:r>
          </w:p>
        </w:tc>
      </w:tr>
      <w:tr>
        <w:trPr/>
        <w:tc>
          <w:tcPr>
            <w:tcW w:w="1373"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Pro-Rata Annual Bonus(1)</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400,000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400,000</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400,000</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373"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Health and Welfare Benefits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159,474</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197,600</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80,943</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r>
      <w:tr>
        <w:trPr/>
        <w:tc>
          <w:tcPr>
            <w:tcW w:w="1373"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Total</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2,653,520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597,600</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480,943</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4,949,268</w:t>
            </w:r>
          </w:p>
        </w:tc>
        <w:tc>
          <w:tcPr>
            <w:tcW w:w="200" w:type="dxa"/>
            <w:tcBorders/>
            <w:vAlign w:val="bottom"/>
          </w:tcPr>
          <w:p>
            <w:pPr>
              <w:pStyle w:val="TableContents"/>
              <w:bidi w:val="0"/>
              <w:spacing w:before="0" w:after="283"/>
              <w:jc w:val="left"/>
              <w:rPr/>
            </w:pPr>
            <w:r>
              <w:rPr/>
              <w:t> </w:t>
            </w:r>
          </w:p>
        </w:tc>
      </w:tr>
      <w:tr>
        <w:trPr>
          <w:trHeight w:val="120" w:hRule="atLeast"/>
        </w:trPr>
        <w:tc>
          <w:tcPr>
            <w:tcW w:w="1373" w:type="dxa"/>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1499" w:type="dxa"/>
            <w:gridSpan w:val="4"/>
            <w:tcBorders/>
            <w:vAlign w:val="center"/>
          </w:tcPr>
          <w:p>
            <w:pPr>
              <w:pStyle w:val="TableContents"/>
              <w:bidi w:val="0"/>
              <w:spacing w:before="0" w:after="283"/>
              <w:jc w:val="left"/>
              <w:rPr>
                <w:sz w:val="4"/>
                <w:szCs w:val="4"/>
              </w:rPr>
            </w:pPr>
            <w:r>
              <w:rPr>
                <w:sz w:val="4"/>
                <w:szCs w:val="4"/>
              </w:rPr>
            </w:r>
          </w:p>
        </w:tc>
        <w:tc>
          <w:tcPr>
            <w:tcW w:w="1548" w:type="dxa"/>
            <w:gridSpan w:val="4"/>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373" w:type="dxa"/>
            <w:vMerge w:val="restart"/>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Samuel A. Giberga</w:t>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Cash Severance</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1,600,000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Stock Award Vesting(2)</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494,046</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4,949,268</w:t>
            </w:r>
          </w:p>
        </w:tc>
        <w:tc>
          <w:tcPr>
            <w:tcW w:w="200" w:type="dxa"/>
            <w:tcBorders/>
            <w:shd w:fill="CCEEFF" w:val="clear"/>
            <w:vAlign w:val="bottom"/>
          </w:tcPr>
          <w:p>
            <w:pPr>
              <w:pStyle w:val="TableContents"/>
              <w:bidi w:val="0"/>
              <w:spacing w:before="0" w:after="283"/>
              <w:jc w:val="left"/>
              <w:rPr/>
            </w:pPr>
            <w:r>
              <w:rPr/>
              <w:t> </w:t>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Pro-Rata Annual Bonus(1)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400,000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400,000</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400,000</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Health and Welfare Benefits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212,606</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352,171</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107,509</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2,706,652</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752,171</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507,509</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4,949,268</w:t>
            </w:r>
          </w:p>
        </w:tc>
        <w:tc>
          <w:tcPr>
            <w:tcW w:w="200" w:type="dxa"/>
            <w:tcBorders/>
            <w:shd w:fill="CCEEFF" w:val="clear"/>
            <w:vAlign w:val="bottom"/>
          </w:tcPr>
          <w:p>
            <w:pPr>
              <w:pStyle w:val="TableContents"/>
              <w:bidi w:val="0"/>
              <w:spacing w:before="0" w:after="283"/>
              <w:jc w:val="left"/>
              <w:rPr/>
            </w:pPr>
            <w:r>
              <w:rPr/>
              <w:t> </w:t>
            </w:r>
          </w:p>
        </w:tc>
      </w:tr>
      <w:tr>
        <w:trPr>
          <w:trHeight w:val="120" w:hRule="atLeast"/>
        </w:trPr>
        <w:tc>
          <w:tcPr>
            <w:tcW w:w="1373" w:type="dxa"/>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1499" w:type="dxa"/>
            <w:gridSpan w:val="4"/>
            <w:tcBorders/>
            <w:vAlign w:val="center"/>
          </w:tcPr>
          <w:p>
            <w:pPr>
              <w:pStyle w:val="TableContents"/>
              <w:bidi w:val="0"/>
              <w:spacing w:before="0" w:after="283"/>
              <w:jc w:val="left"/>
              <w:rPr>
                <w:sz w:val="4"/>
                <w:szCs w:val="4"/>
              </w:rPr>
            </w:pPr>
            <w:r>
              <w:rPr>
                <w:sz w:val="4"/>
                <w:szCs w:val="4"/>
              </w:rPr>
            </w:r>
          </w:p>
        </w:tc>
        <w:tc>
          <w:tcPr>
            <w:tcW w:w="1548" w:type="dxa"/>
            <w:gridSpan w:val="4"/>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373" w:type="dxa"/>
            <w:vMerge w:val="restart"/>
            <w:tcBorders/>
          </w:tcPr>
          <w:p>
            <w:pPr>
              <w:pStyle w:val="TableContents"/>
              <w:bidi w:val="0"/>
              <w:spacing w:before="0" w:after="0"/>
              <w:jc w:val="left"/>
              <w:rPr>
                <w:rFonts w:ascii="Times New Roman" w:hAnsi="Times New Roman"/>
                <w:b/>
                <w:sz w:val="20"/>
              </w:rPr>
            </w:pPr>
            <w:r>
              <w:rPr>
                <w:rFonts w:ascii="Times New Roman" w:hAnsi="Times New Roman"/>
                <w:b/>
                <w:sz w:val="20"/>
              </w:rPr>
              <w:t>John S. Cook</w:t>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Cash Severance</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1,600,000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373"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Stock Award Vesting(2)</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493,971</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4,949,193</w:t>
            </w:r>
          </w:p>
        </w:tc>
        <w:tc>
          <w:tcPr>
            <w:tcW w:w="200" w:type="dxa"/>
            <w:tcBorders/>
            <w:vAlign w:val="bottom"/>
          </w:tcPr>
          <w:p>
            <w:pPr>
              <w:pStyle w:val="TableContents"/>
              <w:bidi w:val="0"/>
              <w:spacing w:before="0" w:after="283"/>
              <w:jc w:val="left"/>
              <w:rPr/>
            </w:pPr>
            <w:r>
              <w:rPr/>
              <w:t> </w:t>
            </w:r>
          </w:p>
        </w:tc>
      </w:tr>
      <w:tr>
        <w:trPr/>
        <w:tc>
          <w:tcPr>
            <w:tcW w:w="1373"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Pro-Rata Annual Bonus(1)</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400,000</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400,000</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400,000</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1373"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Health and Welfare Benefits</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163,008</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347,482</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82,710</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1167"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r>
      <w:tr>
        <w:trPr/>
        <w:tc>
          <w:tcPr>
            <w:tcW w:w="1373" w:type="dxa"/>
            <w:vMerge w:val="continue"/>
            <w:tcBorders/>
          </w:tcPr>
          <w:p>
            <w:pPr>
              <w:pStyle w:val="Normal"/>
              <w:bidi w:val="0"/>
              <w:jc w:val="left"/>
              <w:rPr/>
            </w:pPr>
            <w:r>
              <w:rPr/>
            </w:r>
          </w:p>
        </w:tc>
        <w:tc>
          <w:tcPr>
            <w:tcW w:w="142" w:type="dxa"/>
            <w:tcBorders/>
            <w:vAlign w:val="bottom"/>
          </w:tcPr>
          <w:p>
            <w:pPr>
              <w:pStyle w:val="TableContents"/>
              <w:bidi w:val="0"/>
              <w:spacing w:before="0" w:after="283"/>
              <w:jc w:val="left"/>
              <w:rPr/>
            </w:pPr>
            <w:r>
              <w:rPr/>
              <w:t> </w:t>
            </w:r>
          </w:p>
        </w:tc>
        <w:tc>
          <w:tcPr>
            <w:tcW w:w="2600" w:type="dxa"/>
            <w:tcBorders/>
            <w:vAlign w:val="bottom"/>
          </w:tcPr>
          <w:p>
            <w:pPr>
              <w:pStyle w:val="TableContents"/>
              <w:bidi w:val="0"/>
              <w:spacing w:before="0" w:after="283"/>
              <w:jc w:val="left"/>
              <w:rPr>
                <w:b/>
              </w:rPr>
            </w:pPr>
            <w:r>
              <w:rPr>
                <w:b/>
              </w:rPr>
              <w:t>Total</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2,656,979</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23" w:type="dxa"/>
            <w:tcBorders/>
            <w:vAlign w:val="bottom"/>
          </w:tcPr>
          <w:p>
            <w:pPr>
              <w:pStyle w:val="TableContents"/>
              <w:bidi w:val="0"/>
              <w:spacing w:before="0" w:after="283"/>
              <w:jc w:val="right"/>
              <w:rPr/>
            </w:pPr>
            <w:r>
              <w:rPr/>
              <w:t>747,482</w:t>
            </w:r>
          </w:p>
        </w:tc>
        <w:tc>
          <w:tcPr>
            <w:tcW w:w="19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482,710</w:t>
            </w:r>
          </w:p>
        </w:tc>
        <w:tc>
          <w:tcPr>
            <w:tcW w:w="1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67" w:type="dxa"/>
            <w:tcBorders/>
            <w:vAlign w:val="bottom"/>
          </w:tcPr>
          <w:p>
            <w:pPr>
              <w:pStyle w:val="TableContents"/>
              <w:bidi w:val="0"/>
              <w:spacing w:before="0" w:after="283"/>
              <w:jc w:val="right"/>
              <w:rPr/>
            </w:pPr>
            <w:r>
              <w:rPr/>
              <w:t>4,949,193</w:t>
            </w:r>
          </w:p>
        </w:tc>
        <w:tc>
          <w:tcPr>
            <w:tcW w:w="200" w:type="dxa"/>
            <w:tcBorders/>
            <w:vAlign w:val="bottom"/>
          </w:tcPr>
          <w:p>
            <w:pPr>
              <w:pStyle w:val="TableContents"/>
              <w:bidi w:val="0"/>
              <w:spacing w:before="0" w:after="283"/>
              <w:jc w:val="left"/>
              <w:rPr/>
            </w:pPr>
            <w:r>
              <w:rPr/>
              <w:t> </w:t>
            </w:r>
          </w:p>
        </w:tc>
      </w:tr>
      <w:tr>
        <w:trPr>
          <w:trHeight w:val="120" w:hRule="atLeast"/>
        </w:trPr>
        <w:tc>
          <w:tcPr>
            <w:tcW w:w="1373" w:type="dxa"/>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1499" w:type="dxa"/>
            <w:gridSpan w:val="4"/>
            <w:tcBorders/>
            <w:vAlign w:val="center"/>
          </w:tcPr>
          <w:p>
            <w:pPr>
              <w:pStyle w:val="TableContents"/>
              <w:bidi w:val="0"/>
              <w:spacing w:before="0" w:after="283"/>
              <w:jc w:val="left"/>
              <w:rPr>
                <w:sz w:val="4"/>
                <w:szCs w:val="4"/>
              </w:rPr>
            </w:pPr>
            <w:r>
              <w:rPr>
                <w:sz w:val="4"/>
                <w:szCs w:val="4"/>
              </w:rPr>
            </w:r>
          </w:p>
        </w:tc>
        <w:tc>
          <w:tcPr>
            <w:tcW w:w="1548" w:type="dxa"/>
            <w:gridSpan w:val="4"/>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489" w:type="dxa"/>
            <w:gridSpan w:val="4"/>
            <w:tcBorders/>
            <w:vAlign w:val="center"/>
          </w:tcPr>
          <w:p>
            <w:pPr>
              <w:pStyle w:val="TableContents"/>
              <w:bidi w:val="0"/>
              <w:spacing w:before="0" w:after="283"/>
              <w:jc w:val="left"/>
              <w:rPr>
                <w:sz w:val="4"/>
                <w:szCs w:val="4"/>
              </w:rPr>
            </w:pPr>
            <w:r>
              <w:rPr>
                <w:sz w:val="4"/>
                <w:szCs w:val="4"/>
              </w:rPr>
            </w:r>
          </w:p>
        </w:tc>
      </w:tr>
      <w:tr>
        <w:trPr/>
        <w:tc>
          <w:tcPr>
            <w:tcW w:w="1373" w:type="dxa"/>
            <w:vMerge w:val="restart"/>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Carl G. Annessa</w:t>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Cash Severance</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1,600,000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Stock Award Vesting(2)</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918,864</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4,949,268</w:t>
            </w:r>
          </w:p>
        </w:tc>
        <w:tc>
          <w:tcPr>
            <w:tcW w:w="200" w:type="dxa"/>
            <w:tcBorders/>
            <w:shd w:fill="CCEEFF" w:val="clear"/>
            <w:vAlign w:val="bottom"/>
          </w:tcPr>
          <w:p>
            <w:pPr>
              <w:pStyle w:val="TableContents"/>
              <w:bidi w:val="0"/>
              <w:spacing w:before="0" w:after="283"/>
              <w:jc w:val="left"/>
              <w:rPr/>
            </w:pPr>
            <w:r>
              <w:rPr/>
              <w:t> </w:t>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Pro-Rata Annual Bonus(1)</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400,000</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400,000</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400,000</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Health and Welfare Benefits</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142,941</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175,902</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72,677</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1167"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sz w:val="4"/>
                <w:szCs w:val="4"/>
              </w:rPr>
            </w:pPr>
            <w:r>
              <w:rPr>
                <w:sz w:val="4"/>
                <w:szCs w:val="4"/>
              </w:rPr>
            </w:r>
          </w:p>
        </w:tc>
      </w:tr>
      <w:tr>
        <w:trPr/>
        <w:tc>
          <w:tcPr>
            <w:tcW w:w="1373" w:type="dxa"/>
            <w:vMerge w:val="continue"/>
            <w:tcBorders/>
            <w:shd w:fill="CCEEFF" w:val="clear"/>
          </w:tcPr>
          <w:p>
            <w:pPr>
              <w:pStyle w:val="Normal"/>
              <w:bidi w:val="0"/>
              <w:jc w:val="left"/>
              <w:rPr/>
            </w:pPr>
            <w:r>
              <w:rPr/>
            </w:r>
          </w:p>
        </w:tc>
        <w:tc>
          <w:tcPr>
            <w:tcW w:w="142" w:type="dxa"/>
            <w:tcBorders/>
            <w:shd w:fill="CCEEFF" w:val="clear"/>
            <w:vAlign w:val="bottom"/>
          </w:tcPr>
          <w:p>
            <w:pPr>
              <w:pStyle w:val="TableContents"/>
              <w:bidi w:val="0"/>
              <w:spacing w:before="0" w:after="283"/>
              <w:jc w:val="left"/>
              <w:rPr/>
            </w:pPr>
            <w:r>
              <w:rPr/>
              <w:t> </w:t>
            </w:r>
          </w:p>
        </w:tc>
        <w:tc>
          <w:tcPr>
            <w:tcW w:w="2600" w:type="dxa"/>
            <w:tcBorders/>
            <w:shd w:fill="CCEEFF" w:val="clear"/>
            <w:vAlign w:val="bottom"/>
          </w:tcPr>
          <w:p>
            <w:pPr>
              <w:pStyle w:val="TableContents"/>
              <w:bidi w:val="0"/>
              <w:spacing w:before="0" w:after="283"/>
              <w:jc w:val="left"/>
              <w:rPr>
                <w:b/>
              </w:rPr>
            </w:pPr>
            <w:r>
              <w:rPr>
                <w:b/>
              </w:rPr>
              <w:t>Total</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3,061,805</w:t>
            </w:r>
          </w:p>
        </w:tc>
        <w:tc>
          <w:tcPr>
            <w:tcW w:w="14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23" w:type="dxa"/>
            <w:tcBorders/>
            <w:shd w:fill="CCEEFF" w:val="clear"/>
            <w:vAlign w:val="bottom"/>
          </w:tcPr>
          <w:p>
            <w:pPr>
              <w:pStyle w:val="TableContents"/>
              <w:bidi w:val="0"/>
              <w:spacing w:before="0" w:after="283"/>
              <w:jc w:val="right"/>
              <w:rPr/>
            </w:pPr>
            <w:r>
              <w:rPr/>
              <w:t>575,902</w:t>
            </w:r>
          </w:p>
        </w:tc>
        <w:tc>
          <w:tcPr>
            <w:tcW w:w="19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472,677</w:t>
            </w:r>
          </w:p>
        </w:tc>
        <w:tc>
          <w:tcPr>
            <w:tcW w:w="1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67" w:type="dxa"/>
            <w:tcBorders/>
            <w:shd w:fill="CCEEFF" w:val="clear"/>
            <w:vAlign w:val="bottom"/>
          </w:tcPr>
          <w:p>
            <w:pPr>
              <w:pStyle w:val="TableContents"/>
              <w:bidi w:val="0"/>
              <w:spacing w:before="0" w:after="283"/>
              <w:jc w:val="right"/>
              <w:rPr/>
            </w:pPr>
            <w:r>
              <w:rPr/>
              <w:t>4,949,268</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Pro-Rata Annual Bonus amounts set forth above are based on deemed achievement of all performance criteria at target levels. Given that we assume payout of the Pro-Rata Annual Bonus at target levels, the total severance amount reported in this table under the “Termination Without Cause or for Good Reason” column would be the same if such termination occurred in connection with a change of control.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 Award Vesting amounts set forth do not include the value of the RSUs granted in 2020 that previously vested, as such inclusion would result in a duplication of income reporting, but such vested RSUs would be settled upon a change of control. The value of RSUs previously vested are as follows: $15,925,235 for Mr. Hornbeck and $6,635,546 for each of the other NEOs. All equity awards, including RSUs, were granted from the reserve under the 2020 Management Incentive Plan, which initially allocated 2,198,044 shares of common stock of the Company for issuance thereunder, of which 2,063,111 of such total shares were reserved for executives, senior management, and certain consultants and advisors (excluding non-employee directors) (the “MIP Reserve”) and would have been paid to the MIP participants upon a change of control. The MIP Reserve has been fully allocated, so the Stock Award Vesting amounts assume none of the remaining MIP Reserve would be granted to any of our NEOs at the time of a change of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annual compensation awarded to or earned by certain of our non-employee directors for Fiscal 2025. Todd M. Hornbeck (our Chairman, President and Chief Executive Officer), Jacob Mercer, Aaron Rosen, James McConeghy and Larry Hornbeck (our Chairman Emeritus) did not receive any compensation for serving on our Board of Directors.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815"/>
        <w:gridCol w:w="139"/>
        <w:gridCol w:w="60"/>
        <w:gridCol w:w="893"/>
        <w:gridCol w:w="60"/>
        <w:gridCol w:w="139"/>
        <w:gridCol w:w="60"/>
        <w:gridCol w:w="893"/>
        <w:gridCol w:w="60"/>
        <w:gridCol w:w="139"/>
        <w:gridCol w:w="60"/>
        <w:gridCol w:w="893"/>
        <w:gridCol w:w="361"/>
      </w:tblGrid>
      <w:tr>
        <w:trPr/>
        <w:tc>
          <w:tcPr>
            <w:tcW w:w="481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8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9"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w:t>
              <w:br/>
              <w:t>or Paid</w:t>
              <w:br/>
              <w:t>in Cash</w:t>
              <w:br/>
              <w: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br/>
              <w:t>Awards</w:t>
              <w:br/>
              <w: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($)(1)</w:t>
            </w:r>
          </w:p>
        </w:tc>
        <w:tc>
          <w:tcPr>
            <w:tcW w:w="361"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Kurt M. Cellar</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105,000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140,133</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245,133</w:t>
            </w:r>
          </w:p>
        </w:tc>
        <w:tc>
          <w:tcPr>
            <w:tcW w:w="361" w:type="dxa"/>
            <w:tcBorders/>
            <w:shd w:fill="CCEEFF" w:val="clear"/>
            <w:vAlign w:val="bottom"/>
          </w:tcPr>
          <w:p>
            <w:pPr>
              <w:pStyle w:val="TableContents"/>
              <w:bidi w:val="0"/>
              <w:spacing w:before="0" w:after="283"/>
              <w:jc w:val="left"/>
              <w:rPr/>
            </w:pPr>
            <w:r>
              <w:rPr/>
              <w:t>(2)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Evan B. Behrens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70,000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115,619</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185,619</w:t>
            </w:r>
          </w:p>
        </w:tc>
        <w:tc>
          <w:tcPr>
            <w:tcW w:w="361" w:type="dxa"/>
            <w:tcBorders/>
            <w:vAlign w:val="bottom"/>
          </w:tcPr>
          <w:p>
            <w:pPr>
              <w:pStyle w:val="TableContents"/>
              <w:bidi w:val="0"/>
              <w:spacing w:before="0" w:after="283"/>
              <w:jc w:val="left"/>
              <w:rPr/>
            </w:pPr>
            <w:r>
              <w:rPr/>
              <w:t>(3)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Piyush “Bobby” Jindal</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91,250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115,619</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206,869</w:t>
            </w:r>
          </w:p>
        </w:tc>
        <w:tc>
          <w:tcPr>
            <w:tcW w:w="361" w:type="dxa"/>
            <w:tcBorders/>
            <w:shd w:fill="CCEEFF" w:val="clear"/>
            <w:vAlign w:val="bottom"/>
          </w:tcPr>
          <w:p>
            <w:pPr>
              <w:pStyle w:val="TableContents"/>
              <w:bidi w:val="0"/>
              <w:spacing w:before="0" w:after="283"/>
              <w:jc w:val="left"/>
              <w:rPr/>
            </w:pPr>
            <w:r>
              <w:rPr/>
              <w:t>(4)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John Richardson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18,750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18,750</w:t>
            </w:r>
          </w:p>
        </w:tc>
        <w:tc>
          <w:tcPr>
            <w:tcW w:w="361" w:type="dxa"/>
            <w:tcBorders/>
            <w:vAlign w:val="bottom"/>
          </w:tcPr>
          <w:p>
            <w:pPr>
              <w:pStyle w:val="TableContents"/>
              <w:bidi w:val="0"/>
              <w:spacing w:before="0" w:after="283"/>
              <w:jc w:val="left"/>
              <w:rPr/>
            </w:pPr>
            <w:r>
              <w:rPr/>
              <w:t>(5)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Lloyd Donelson Miller</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67,500</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115,619</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tcBorders/>
            <w:shd w:fill="CCEEFF" w:val="clear"/>
            <w:vAlign w:val="bottom"/>
          </w:tcPr>
          <w:p>
            <w:pPr>
              <w:pStyle w:val="TableContents"/>
              <w:bidi w:val="0"/>
              <w:spacing w:before="0" w:after="283"/>
              <w:jc w:val="right"/>
              <w:rPr/>
            </w:pPr>
            <w:r>
              <w:rPr/>
              <w:t>183,119</w:t>
            </w:r>
          </w:p>
        </w:tc>
        <w:tc>
          <w:tcPr>
            <w:tcW w:w="361" w:type="dxa"/>
            <w:tcBorders/>
            <w:shd w:fill="CCEEFF" w:val="clear"/>
            <w:vAlign w:val="bottom"/>
          </w:tcPr>
          <w:p>
            <w:pPr>
              <w:pStyle w:val="TableContents"/>
              <w:bidi w:val="0"/>
              <w:spacing w:before="0" w:after="283"/>
              <w:jc w:val="left"/>
              <w:rPr/>
            </w:pPr>
            <w:r>
              <w:rPr/>
              <w:t>(6)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Sylvia Jo Sydow Kerrigan</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73,750</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115,619</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tcBorders/>
            <w:vAlign w:val="bottom"/>
          </w:tcPr>
          <w:p>
            <w:pPr>
              <w:pStyle w:val="TableContents"/>
              <w:bidi w:val="0"/>
              <w:spacing w:before="0" w:after="283"/>
              <w:jc w:val="right"/>
              <w:rPr/>
            </w:pPr>
            <w:r>
              <w:rPr/>
              <w:t>189,369</w:t>
            </w:r>
          </w:p>
        </w:tc>
        <w:tc>
          <w:tcPr>
            <w:tcW w:w="361" w:type="dxa"/>
            <w:tcBorders/>
            <w:vAlign w:val="bottom"/>
          </w:tcPr>
          <w:p>
            <w:pPr>
              <w:pStyle w:val="TableContents"/>
              <w:bidi w:val="0"/>
              <w:spacing w:before="0" w:after="283"/>
              <w:jc w:val="left"/>
              <w:rPr/>
            </w:pPr>
            <w:r>
              <w:rPr/>
              <w:t>(7)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all equity awards issued to our directors in our fiscal year ended December 31, 2020 and in Fiscal 2021 had vested in full, and such equity awards will settle upon the earlier of September 4, 2027 and a “change of control.” As of December 31, 2025, all equity awards issued to our directors in Fiscal 2023 and Fiscal 2024 had vested in full and been settled. For the RSUs granted in Fiscal 2025, the total dollar amounts in this column equal the product of (i) the number of RSUs granted multiplied by (ii) the fair value of our common stock as of the grant date ($64.34 per share), determined in accordance with FASB ASC Topic 718.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Cellar, this amount represents the sum of the annual cash retainers due for his service as: (i) a non-employee director ($60,000), (ii) the chairperson of the audit committee ($20,000), (iii) the lead independent director ($25,000) and (iv) the value of 2,178 RSUs granted in Fiscal 2025 ($140,133), 35% of which Mr. Cellar elected to have settled in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Behrens, this amount represents the sum of the annual cash retainers due for his service as: (i) a non-employee director ($60,000), (ii) a member of the audit committee ($10,000) and (iii) the value of 1,797 RSUs granted in Fiscal 2025 ($115,619), 35% of which Mr. Behrens elected to have settled in cash.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Jindal, this amount represents the sum of the annual cash retainers due for his service as: (i) a non-employee director ($60,000), (ii) the chairperson of the compensation committee ($15,000), (iii) a member of the audit committee ($10,000), (iv) a member of the business diversification/government contracting committee ($6,250) and (v) the value of 1,797 RSUs granted in Fiscal 2025 ($115,619), 35% of which Mr. Jindal elected to have settled in cash.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Richardson, this amount represents the sum of the annual cash retainers due for his service as: (i) a non-employee director ($15,000) and (ii) as the chairperson of the business diversification/government contracting committee ($3,750). Mr. Richardson resigned from the Board of Directors on February 5,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Miller, this amount represents the sum of the annual cash retainers due for his service as: (i) a non-employee director ($60,000), (ii) a member of the compensation committee ($7.500) and (iii) the value of 1,797 RSUs granted in Fiscal 2025 ($115,619).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Ms. Kerrigan, this amount represents the sum of the annual cash retainers due for her service as: (i) a non-employee director ($60,000), (ii) a member of the compensation committee ($7,500), (iii) a member of the business diversification/government contracting committee ($6,250) and (iv) the value of 1,797 RSUs granted in Fiscal 2025 ($115,619).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Go-Forward Compensation Arrangements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expect to (1) adopt the 2026 Omnibus Incentive Plan, (2) grant equity awards under the 2026 Omnibus Incentive Plan to certain of our employees, including our NEOs, (3) amend and restate the EAs with our NEOs, and (4) adopt a new non-employee director compensation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2026 Omnibus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order to incentivize our employees, consultants and non-employee directors following the completion of this offering, we anticipate that our Board of Directors will adopt the 2026 Omnibus Incentive Plan for employees, consultants and non-employee directors prior to the completion of this offering. Our NEOs will be eligible to participate in the 2026 Omnibus Incentive Plan, which we expect will become effective upon the consummation of this offering. We anticipate that the 2026 Omnibus Incentive Plan will provide for the grant of stock options (in the form of either NQSOs or incentive stock options (“ISOs”)), stock appreciation rights (“SARs”), restricted stock, RSUs, performance awards, other stock-based awards, cash awards and substitute awards intended to align the interests of participants with those of our stockholders. </w:t>
      </w:r>
    </w:p>
    <w:p>
      <w:pPr>
        <w:pStyle w:val="TextBody"/>
        <w:bidi w:val="0"/>
        <w:spacing w:before="240" w:after="0"/>
        <w:jc w:val="left"/>
        <w:rPr>
          <w:rFonts w:ascii="Times New Roman" w:hAnsi="Times New Roman"/>
          <w:sz w:val="20"/>
        </w:rPr>
      </w:pPr>
      <w:r>
        <w:rPr>
          <w:rFonts w:ascii="Times New Roman" w:hAnsi="Times New Roman"/>
          <w:i/>
          <w:sz w:val="20"/>
        </w:rPr>
        <w:t>Securities Offered</w:t>
      </w:r>
      <w:r>
        <w:rPr>
          <w:rFonts w:ascii="Times New Roman" w:hAnsi="Times New Roman"/>
          <w:sz w:val="20"/>
        </w:rPr>
        <w:t xml:space="preserve">. Subject to adjustment in the event of certain transactions or changes of capitalization in accordance with the 2026 Omnibus Incentive Plan, a total of      shares of common stock have been initially reserved for issuance pursuant to awards under the 2026 Omnibus Incentive Plan. The total number of shares of common stock reserved for issuance under the 2026 Omnibus Incentive Plan will be increased on January 1 of each calendar year beginning in 2027, and ending and including January 1, 2036, by the lesser of (i) 2.5% of the total number of shares of common stock outstanding on each December 31 of the immediately preceding calendar year or (ii) such smaller number of shares of common stock determined by our Board of Directors. No more than      shares of common stock under the 2026 Omnibus Incentive Plan may be issued pursuant to ISOs. Shares of common stock subject to an award under the 2026 Omnibus Incentive Plan will again be made available for issuance or delivery if such shares of common stock are (i) delivered, withheld or surrendered in payment of the exercise or purchase price of an award, (ii) delivered, withheld, or surrendered to satisfy any tax withholding obligation or (iii) subject to an award that expires or is canceled, forfeited, or terminated without issuance of the full number of shares of common stock to which the award related. </w:t>
      </w:r>
    </w:p>
    <w:p>
      <w:pPr>
        <w:pStyle w:val="TextBody"/>
        <w:bidi w:val="0"/>
        <w:spacing w:before="24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2026 Omnibus Incentive Plan will be administered by a committee of our Board of Directors that has been authorized to administer the 2026 Omnibus Incentive Plan, except if no such committee is authorized by our Board of Directors, our Board of Directors will administer the 2026 Omnibus Incentive Plan (as applicable, the “Committee”). The Committee has broad discretion to administer the 2026 Omnibus Incentive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take all other actions necessary or advisable for the administration of the 2026 Omnibus Incentive Plan.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Employees and consultants of the Company and its affiliates, and non-employee directors of the Company are eligible to receive awards under the 2026 Omnibus Incentive Plan. </w:t>
      </w:r>
    </w:p>
    <w:p>
      <w:pPr>
        <w:pStyle w:val="TextBody"/>
        <w:bidi w:val="0"/>
        <w:spacing w:before="240" w:after="0"/>
        <w:jc w:val="left"/>
        <w:rPr>
          <w:rFonts w:ascii="Times New Roman" w:hAnsi="Times New Roman"/>
          <w:sz w:val="20"/>
        </w:rPr>
      </w:pPr>
      <w:r>
        <w:rPr>
          <w:rFonts w:ascii="Times New Roman" w:hAnsi="Times New Roman"/>
          <w:i/>
          <w:sz w:val="20"/>
        </w:rPr>
        <w:t>Non-Employee Director Compensation Limits</w:t>
      </w:r>
      <w:r>
        <w:rPr>
          <w:rFonts w:ascii="Times New Roman" w:hAnsi="Times New Roman"/>
          <w:sz w:val="20"/>
        </w:rPr>
        <w:t xml:space="preserve">. Under the 2026 Omnibus Incentive Plan, in a calendar year, a non-employee director may not be granted awards for such individual’s service on our Board of Directors that, taken together with any cash fees paid to such non-employee director during such calendar year for such individual’s service on our Board of Directors, have a value in excess of $750,000 (calculating the value of any such awards based on the grant date fair value of such awards for financial reporting purposes); provided, that (i) the Committee may make exceptions to this limit, except that the non-employee director receiving such additional compensation may not participate in the decision to award such compensation or in other contemporaneous decisions involving compensation for non-employee directors and (ii) for any calendar year in which a non-employee director (a) first commences service on our Board of Directors, (b) serves on a special committee of our Board of Directors, or (c) serves as lead director or non-executive chair of our Board of Directors, such limit shall be increased to $1,000,000. This limit does not apply to awards or other compensation, if any, provided to a non-employee director during any period in which the individual was an employee or otherwise providing services to the Company or its affiliates in another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Types of Awards. </w:t>
      </w:r>
    </w:p>
    <w:p>
      <w:pPr>
        <w:pStyle w:val="TextBody"/>
        <w:bidi w:val="0"/>
        <w:spacing w:before="120" w:after="0"/>
        <w:jc w:val="left"/>
        <w:rPr>
          <w:rFonts w:ascii="Times New Roman" w:hAnsi="Times New Roman"/>
          <w:sz w:val="20"/>
        </w:rPr>
      </w:pPr>
      <w:r>
        <w:rPr>
          <w:rFonts w:ascii="Times New Roman" w:hAnsi="Times New Roman"/>
          <w:sz w:val="20"/>
          <w:u w:val="single"/>
        </w:rPr>
        <w:t>Options</w:t>
      </w:r>
      <w:r>
        <w:rPr>
          <w:rFonts w:ascii="Times New Roman" w:hAnsi="Times New Roman"/>
          <w:sz w:val="20"/>
        </w:rPr>
        <w:t xml:space="preserve">. We may grant options to eligible persons, except that ISOs may only be granted to persons who are our employees or employees of one of our subsidiaries, in accordance with Section 422 of the Code. The exercise price of an option cannot be less than 100% of the fair market value of a share of common stock on the date on which the option is granted and the option must not be exercisable for longer than 10 years following the date of grant. However, in the case of an ISO granted to an individual who owns (or is deemed to own) at least 10% of the total combined voting power of all classes of our equity securities, the exercise price of the option must be at least 110% of the fair market value of a share of common stock on the date of grant and the option must not be exercisable more than five years from the date of grant. </w:t>
      </w:r>
    </w:p>
    <w:p>
      <w:pPr>
        <w:pStyle w:val="TextBody"/>
        <w:bidi w:val="0"/>
        <w:spacing w:before="240" w:after="0"/>
        <w:jc w:val="left"/>
        <w:rPr>
          <w:rFonts w:ascii="Times New Roman" w:hAnsi="Times New Roman"/>
          <w:sz w:val="20"/>
        </w:rPr>
      </w:pPr>
      <w:r>
        <w:rPr>
          <w:rFonts w:ascii="Times New Roman" w:hAnsi="Times New Roman"/>
          <w:sz w:val="20"/>
          <w:u w:val="single"/>
        </w:rPr>
        <w:t>SARs</w:t>
      </w:r>
      <w:r>
        <w:rPr>
          <w:rFonts w:ascii="Times New Roman" w:hAnsi="Times New Roman"/>
          <w:sz w:val="20"/>
        </w:rPr>
        <w:t xml:space="preserve">. An SAR is the right to receive an amount equal to the excess of the fair market value of one share of common stock on the date of exercise over the grant price of the SAR. The grant price of a SAR cannot be less than 100% of the fair market value of a share of common stock on the date on which the SAR is granted. The term of a SAR may not exceed 10 years. SARs may be granted in connection with, or independent of, other awards. The Committee has the discretion to determine other terms and conditions of a SAR award. </w:t>
      </w:r>
    </w:p>
    <w:p>
      <w:pPr>
        <w:pStyle w:val="TextBody"/>
        <w:bidi w:val="0"/>
        <w:spacing w:before="240" w:after="0"/>
        <w:jc w:val="left"/>
        <w:rPr>
          <w:rFonts w:ascii="Times New Roman" w:hAnsi="Times New Roman"/>
          <w:sz w:val="20"/>
        </w:rPr>
      </w:pPr>
      <w:r>
        <w:rPr>
          <w:rFonts w:ascii="Times New Roman" w:hAnsi="Times New Roman"/>
          <w:sz w:val="20"/>
          <w:u w:val="single"/>
        </w:rPr>
        <w:t>Restricted Stock Awards</w:t>
      </w:r>
      <w:r>
        <w:rPr>
          <w:rFonts w:ascii="Times New Roman" w:hAnsi="Times New Roman"/>
          <w:sz w:val="20"/>
        </w:rPr>
        <w:t xml:space="preserve">. A restricted stock award is a grant of shares of common stock subject to restrictions on transferability and risk of forfeiture imposed by the Committee. Unless otherwise determined by the Committee and specified in the applicable award agreement, the holder of a restricted stock award has rights as a stockholder, including the right to vote the shares of common stock subject to the restricted stock award or to receive dividends on the shares of common stock subject to the restricted stock award during the restriction period. The Committee may determine on what terms and conditions the participant will be entitled to dividends payable on the shares of restricted stock. </w:t>
      </w:r>
    </w:p>
    <w:p>
      <w:pPr>
        <w:pStyle w:val="TextBody"/>
        <w:bidi w:val="0"/>
        <w:spacing w:before="240" w:after="0"/>
        <w:jc w:val="left"/>
        <w:rPr>
          <w:rFonts w:ascii="Times New Roman" w:hAnsi="Times New Roman"/>
          <w:sz w:val="20"/>
        </w:rPr>
      </w:pPr>
      <w:r>
        <w:rPr>
          <w:rFonts w:ascii="Times New Roman" w:hAnsi="Times New Roman"/>
          <w:sz w:val="20"/>
          <w:u w:val="single"/>
        </w:rPr>
        <w:t>Restricted Stock Units</w:t>
      </w:r>
      <w:r>
        <w:rPr>
          <w:rFonts w:ascii="Times New Roman" w:hAnsi="Times New Roman"/>
          <w:sz w:val="20"/>
        </w:rPr>
        <w:t xml:space="preserve">. An RSU is a right to receive cash, shares of common stock or a combination of cash and shares of common stock at the end of a specified period equal to the fair market value of one share of common stock on the date of vesting. RSUs may be subject to restrictions, including a risk of forfeiture, imposed by the Committee. The Committee may determine that a grant of RSUs will provide a participant a right to receive dividend equivalents, which entitles the participant to receive the equivalent value (in cash or shares of common stock) of dividends paid on the underlying shares of common stock. Dividend equivalents may be paid currently or credited to an account, settled in cash or shares, and may be subject to the same restrictions as the RSUs with respect to which the dividend equivalents are granted. </w:t>
      </w:r>
    </w:p>
    <w:p>
      <w:pPr>
        <w:pStyle w:val="TextBody"/>
        <w:bidi w:val="0"/>
        <w:spacing w:before="240" w:after="0"/>
        <w:jc w:val="left"/>
        <w:rPr>
          <w:rFonts w:ascii="Times New Roman" w:hAnsi="Times New Roman"/>
          <w:sz w:val="20"/>
        </w:rPr>
      </w:pPr>
      <w:r>
        <w:rPr>
          <w:rFonts w:ascii="Times New Roman" w:hAnsi="Times New Roman"/>
          <w:sz w:val="20"/>
          <w:u w:val="single"/>
        </w:rPr>
        <w:t>Performance Awards</w:t>
      </w:r>
      <w:r>
        <w:rPr>
          <w:rFonts w:ascii="Times New Roman" w:hAnsi="Times New Roman"/>
          <w:sz w:val="20"/>
        </w:rPr>
        <w:t xml:space="preserve">. 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2026 Omnibus Incentive Plan, and may be paid in cash, shares of common stock, other property or any combination thereof, in the sole discretion of the Committee. </w:t>
      </w:r>
    </w:p>
    <w:p>
      <w:pPr>
        <w:pStyle w:val="TextBody"/>
        <w:bidi w:val="0"/>
        <w:spacing w:before="240" w:after="0"/>
        <w:jc w:val="left"/>
        <w:rPr>
          <w:rFonts w:ascii="Times New Roman" w:hAnsi="Times New Roman"/>
          <w:sz w:val="20"/>
        </w:rPr>
      </w:pPr>
      <w:r>
        <w:rPr>
          <w:rFonts w:ascii="Times New Roman" w:hAnsi="Times New Roman"/>
          <w:sz w:val="20"/>
          <w:u w:val="single"/>
        </w:rPr>
        <w:t>Other Share-Based Awards</w:t>
      </w:r>
      <w:r>
        <w:rPr>
          <w:rFonts w:ascii="Times New Roman" w:hAnsi="Times New Roman"/>
          <w:sz w:val="20"/>
        </w:rPr>
        <w:t xml:space="preserve">. Other share-based awards are awards denominated or payable in, valued in whole or in part by reference to, or otherwise based on or related to, the value of shares of common stock. </w:t>
      </w:r>
    </w:p>
    <w:p>
      <w:pPr>
        <w:pStyle w:val="TextBody"/>
        <w:bidi w:val="0"/>
        <w:spacing w:before="240" w:after="0"/>
        <w:jc w:val="left"/>
        <w:rPr>
          <w:rFonts w:ascii="Times New Roman" w:hAnsi="Times New Roman"/>
          <w:sz w:val="20"/>
        </w:rPr>
      </w:pPr>
      <w:r>
        <w:rPr>
          <w:rFonts w:ascii="Times New Roman" w:hAnsi="Times New Roman"/>
          <w:sz w:val="20"/>
          <w:u w:val="single"/>
        </w:rPr>
        <w:t>Cash Awards</w:t>
      </w:r>
      <w:r>
        <w:rPr>
          <w:rFonts w:ascii="Times New Roman" w:hAnsi="Times New Roman"/>
          <w:sz w:val="20"/>
        </w:rPr>
        <w:t xml:space="preserve">. Cash awards may be granted on a free-standing basis or as an element of, a supplement to, or in lieu of any other award and will be subject to such terms and conditions, including vesting conditions as determined by the Committee. </w:t>
      </w:r>
    </w:p>
    <w:p>
      <w:pPr>
        <w:pStyle w:val="TextBody"/>
        <w:bidi w:val="0"/>
        <w:spacing w:before="240" w:after="0"/>
        <w:jc w:val="left"/>
        <w:rPr>
          <w:rFonts w:ascii="Times New Roman" w:hAnsi="Times New Roman"/>
          <w:sz w:val="20"/>
        </w:rPr>
      </w:pPr>
      <w:r>
        <w:rPr>
          <w:rFonts w:ascii="Times New Roman" w:hAnsi="Times New Roman"/>
          <w:sz w:val="20"/>
          <w:u w:val="single"/>
        </w:rPr>
        <w:t>Substitute Awards</w:t>
      </w:r>
      <w:r>
        <w:rPr>
          <w:rFonts w:ascii="Times New Roman" w:hAnsi="Times New Roman"/>
          <w:sz w:val="20"/>
        </w:rPr>
        <w:t xml:space="preserve">. Awards may be granted under the 2026 Omnibus Incentive Plan in substitution for similar awards held for individuals who become participants as a result of a merger, consolidation or acquisition of another entity by or with the Company or one of our affiliates. </w:t>
      </w:r>
    </w:p>
    <w:p>
      <w:pPr>
        <w:pStyle w:val="TextBody"/>
        <w:bidi w:val="0"/>
        <w:spacing w:before="240" w:after="0"/>
        <w:jc w:val="left"/>
        <w:rPr>
          <w:rFonts w:ascii="Times New Roman" w:hAnsi="Times New Roman"/>
          <w:sz w:val="20"/>
        </w:rPr>
      </w:pPr>
      <w:r>
        <w:rPr>
          <w:rFonts w:ascii="Times New Roman" w:hAnsi="Times New Roman"/>
          <w:i/>
          <w:sz w:val="20"/>
        </w:rPr>
        <w:t>Certain Transactions</w:t>
      </w:r>
      <w:r>
        <w:rPr>
          <w:rFonts w:ascii="Times New Roman" w:hAnsi="Times New Roman"/>
          <w:sz w:val="20"/>
        </w:rPr>
        <w:t xml:space="preserve">. If any change is made to our capitalization, such as a stock split, stock combination, stock dividend, exchange of stock or other recapitalization, merger or otherwise, which results in an increase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decrease in the number of our outstanding shares of common stock, appropriate adjustments will be made by the Committee to (i) the shares of common stock subject to an outstanding award under the 2026 Omnibus Incentive Plan and (ii) the respective exercise price of such award. The Committee will also have the discretion to make certain adjustments to awards in the event of a change in control of the Company,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 </w:t>
      </w:r>
    </w:p>
    <w:p>
      <w:pPr>
        <w:pStyle w:val="TextBody"/>
        <w:bidi w:val="0"/>
        <w:spacing w:before="240" w:after="0"/>
        <w:jc w:val="left"/>
        <w:rPr>
          <w:rFonts w:ascii="Times New Roman" w:hAnsi="Times New Roman"/>
          <w:sz w:val="20"/>
        </w:rPr>
      </w:pPr>
      <w:r>
        <w:rPr>
          <w:rFonts w:ascii="Times New Roman" w:hAnsi="Times New Roman"/>
          <w:i/>
          <w:sz w:val="20"/>
        </w:rPr>
        <w:t>Clawback</w:t>
      </w:r>
      <w:r>
        <w:rPr>
          <w:rFonts w:ascii="Times New Roman" w:hAnsi="Times New Roman"/>
          <w:sz w:val="20"/>
        </w:rPr>
        <w:t xml:space="preserve">. All awards, amounts, or benefits received or outstanding under the 2026 Omnibus Incentive Plan will be subject to clawback, cancellation, recoupment, rescission, payback, reduction, or other similar action in accordance with any Company clawback or similar policy or any applicable law related to such actions. </w:t>
      </w:r>
    </w:p>
    <w:p>
      <w:pPr>
        <w:pStyle w:val="TextBody"/>
        <w:bidi w:val="0"/>
        <w:spacing w:before="240" w:after="0"/>
        <w:jc w:val="left"/>
        <w:rPr>
          <w:rFonts w:ascii="Times New Roman" w:hAnsi="Times New Roman"/>
          <w:sz w:val="20"/>
        </w:rPr>
      </w:pPr>
      <w:r>
        <w:rPr>
          <w:rFonts w:ascii="Times New Roman" w:hAnsi="Times New Roman"/>
          <w:i/>
          <w:sz w:val="20"/>
        </w:rPr>
        <w:t>Plan Amendment and Termination</w:t>
      </w:r>
      <w:r>
        <w:rPr>
          <w:rFonts w:ascii="Times New Roman" w:hAnsi="Times New Roman"/>
          <w:sz w:val="20"/>
        </w:rPr>
        <w:t xml:space="preserve">. Our Board of Directors or the Committee may amend, in whole or in part, any or all of the provisions of the 2026 Omnibus Incentive Plan, or suspend or terminate it entirely, retroactively or otherwise, provided that the rights of a participant with respect to awards granted prior to such amendment, suspension, or termination may not be materially impaired without the consent of such participant. Without stockholder approval, no amendment may be made that would (i) increase the aggregate number of shares of common stock that may be issued under the 2026 Omnibus Incentive Plan or (ii) change the classification of individuals eligible to receive awards under the 2026 Omnibus Incentive Plan. The 2026 Omnibus Incentive Plan will remain in effect for a period of ten years (unless earlier terminated by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IPO Equity Grants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expect to grant RSUs and NQSOs under the 2026 Omnibus Incentive Plan to certain of our employees, including our NEOs, representing an aggregate of approximately shares of common stock underlying the awards (calculated using the midpoint of the estimated offering price range shown on the cover page of this prospectus). The terms of such awards have not yet been determined.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Amended &amp; Restated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expect to enter into amended and restated employment agreements (each, an “A&amp;R EA”) with each of our NEOs that will become effective upon the consummation of this offering. We expect that the terms of each A&amp;R EA will be materially the same as the NEOs’ current EAs, except for the amended terms described below. </w:t>
      </w:r>
    </w:p>
    <w:p>
      <w:pPr>
        <w:pStyle w:val="TextBody"/>
        <w:bidi w:val="0"/>
        <w:spacing w:before="240" w:after="0"/>
        <w:jc w:val="left"/>
        <w:rPr>
          <w:rFonts w:ascii="Times New Roman" w:hAnsi="Times New Roman"/>
          <w:sz w:val="20"/>
        </w:rPr>
      </w:pPr>
      <w:r>
        <w:rPr>
          <w:rFonts w:ascii="Times New Roman" w:hAnsi="Times New Roman"/>
          <w:i/>
          <w:sz w:val="20"/>
        </w:rPr>
        <w:t>Initial Term</w:t>
      </w:r>
      <w:r>
        <w:rPr>
          <w:rFonts w:ascii="Times New Roman" w:hAnsi="Times New Roman"/>
          <w:sz w:val="20"/>
        </w:rPr>
        <w:t xml:space="preserve">. The initial term will end on December 31, 2029. </w:t>
      </w:r>
    </w:p>
    <w:p>
      <w:pPr>
        <w:pStyle w:val="TextBody"/>
        <w:bidi w:val="0"/>
        <w:spacing w:before="240" w:after="0"/>
        <w:jc w:val="left"/>
        <w:rPr>
          <w:rFonts w:ascii="Times New Roman" w:hAnsi="Times New Roman"/>
          <w:sz w:val="20"/>
        </w:rPr>
      </w:pPr>
      <w:r>
        <w:rPr>
          <w:rFonts w:ascii="Times New Roman" w:hAnsi="Times New Roman"/>
          <w:i/>
          <w:sz w:val="20"/>
        </w:rPr>
        <w:t>CEO Board of Directors Service</w:t>
      </w:r>
      <w:r>
        <w:rPr>
          <w:rFonts w:ascii="Times New Roman" w:hAnsi="Times New Roman"/>
          <w:sz w:val="20"/>
        </w:rPr>
        <w:t xml:space="preserve">. For Mr. Hornbeck only, so long as he serves as our Chief Executive Officer, he will continue to serve as a member of our Board of Directors until his seat is first scheduled for election, following which we will nominate him for election as a member of our Board of Directors at each shareholders’ meeting occurring during the term of his employment and use best efforts to have him elected. Mr. Hornbeck will also serve as Chairman of our Board of Directors through the second anniversary of the consummation of this offering (or, if earlier, his resignation or removal as our Chief Executive Officer). </w:t>
      </w:r>
    </w:p>
    <w:p>
      <w:pPr>
        <w:pStyle w:val="TextBody"/>
        <w:bidi w:val="0"/>
        <w:spacing w:before="240" w:after="0"/>
        <w:jc w:val="left"/>
        <w:rPr>
          <w:rFonts w:ascii="Times New Roman" w:hAnsi="Times New Roman"/>
          <w:sz w:val="20"/>
        </w:rPr>
      </w:pPr>
      <w:r>
        <w:rPr>
          <w:rFonts w:ascii="Times New Roman" w:hAnsi="Times New Roman"/>
          <w:i/>
          <w:sz w:val="20"/>
        </w:rPr>
        <w:t>CEO Equity Award Vesting</w:t>
      </w:r>
      <w:r>
        <w:rPr>
          <w:rFonts w:ascii="Times New Roman" w:hAnsi="Times New Roman"/>
          <w:sz w:val="20"/>
        </w:rPr>
        <w:t xml:space="preserve">. For Mr. Hornbeck only, to the extent not already provided in the applicable award agreement, upon a termination by him for “good reason” or by the Company without “cause”, all time- or service-based vesting conditions applicable to any equity awards outstanding as of the date of the termination of his employment will be deemed to be fully satisfied (and the treatment of any performance-based vesting conditions will receive the treatment set forth in the applicable award agreement). </w:t>
      </w:r>
    </w:p>
    <w:p>
      <w:pPr>
        <w:pStyle w:val="TextBody"/>
        <w:bidi w:val="0"/>
        <w:spacing w:before="240" w:after="0"/>
        <w:jc w:val="left"/>
        <w:rPr>
          <w:rFonts w:ascii="Times New Roman" w:hAnsi="Times New Roman"/>
          <w:sz w:val="20"/>
        </w:rPr>
      </w:pPr>
      <w:r>
        <w:rPr>
          <w:rFonts w:ascii="Times New Roman" w:hAnsi="Times New Roman"/>
          <w:i/>
          <w:sz w:val="20"/>
        </w:rPr>
        <w:t>Pro-Rata Bonus Upon Qualifying Termination</w:t>
      </w:r>
      <w:r>
        <w:rPr>
          <w:rFonts w:ascii="Times New Roman" w:hAnsi="Times New Roman"/>
          <w:sz w:val="20"/>
        </w:rPr>
        <w:t xml:space="preserve">. Each NEO will receive a pro-rata bonus upon a Qualifying Termination regardless of when in the applicable fiscal year the Qualifying Termination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Severance Multiplier for CIC Qualifying Termination</w:t>
      </w:r>
      <w:r>
        <w:rPr>
          <w:rFonts w:ascii="Times New Roman" w:hAnsi="Times New Roman"/>
          <w:sz w:val="20"/>
        </w:rPr>
        <w:t xml:space="preserve">. The severance multiplier for a Qualifying Termination in connection with a change of control will be fixed at 2.5x for Mr. Hornbeck and 2.0x for each of our other NEOs. </w:t>
      </w:r>
    </w:p>
    <w:p>
      <w:pPr>
        <w:pStyle w:val="TextBody"/>
        <w:bidi w:val="0"/>
        <w:spacing w:before="240" w:after="0"/>
        <w:jc w:val="left"/>
        <w:rPr>
          <w:rFonts w:ascii="Times New Roman" w:hAnsi="Times New Roman"/>
          <w:sz w:val="20"/>
        </w:rPr>
      </w:pPr>
      <w:r>
        <w:rPr>
          <w:rFonts w:ascii="Times New Roman" w:hAnsi="Times New Roman"/>
          <w:i/>
          <w:sz w:val="20"/>
        </w:rPr>
        <w:t>Automobile Benefits for CIC Qualifying Termination</w:t>
      </w:r>
      <w:r>
        <w:rPr>
          <w:rFonts w:ascii="Times New Roman" w:hAnsi="Times New Roman"/>
          <w:sz w:val="20"/>
        </w:rPr>
        <w:t xml:space="preserve">. For Mr. Hornbeck only, upon a Qualifying Termination in connection with a change of control, he will be eligible to continue to receive automobile benefits until the earlier of (i) his death and (ii) the 30-month anniversary of such termination. </w:t>
      </w:r>
    </w:p>
    <w:p>
      <w:pPr>
        <w:pStyle w:val="TextBody"/>
        <w:bidi w:val="0"/>
        <w:spacing w:before="240" w:after="0"/>
        <w:jc w:val="left"/>
        <w:rPr>
          <w:rFonts w:ascii="Times New Roman" w:hAnsi="Times New Roman"/>
          <w:sz w:val="20"/>
        </w:rPr>
      </w:pPr>
      <w:r>
        <w:rPr>
          <w:rFonts w:ascii="Times New Roman" w:hAnsi="Times New Roman"/>
          <w:i/>
          <w:sz w:val="20"/>
        </w:rPr>
        <w:t>Lapse of Transfer Restrictions on MIP Options and PSUs</w:t>
      </w:r>
      <w:r>
        <w:rPr>
          <w:rFonts w:ascii="Times New Roman" w:hAnsi="Times New Roman"/>
          <w:sz w:val="20"/>
        </w:rPr>
        <w:t xml:space="preserve">. Notwithstanding the terms of the 2020 Management Incentive Plan or the award agreements or transfer restriction agreements thereunder (the “MIP Documents”), any transfer restrictions in the MIP Documents with respect to shares of our common stock issued in respect of options or PSUs granted under the 2020 Management Incentive Plan will terminate in accordance with the following schedule (to the extent not earlier terminated in accordance with their terms): (i) upon the consummation of this offering, the transfer restrictions will terminate with respect to 50% of each NEOs’ outstanding stock options and PSUs that, in each case, are or become vested as of such time, (ii) upon the one-year anniversary of the consummation of this offering, the transfer restrictions will terminate with respect to 100% of each NEOs’ outstanding stock options and PSUs that, in each case, are or become vested as of such time, and (iii) upon the applicable vesting date for each NEO’s outstanding stock options and PSUs that vest following the one-year anniversary of the consummation of this offering, the transfer restrictions will terminate immediately upon such applicable vesting date. For clarity, the lapse of the transfer restrictions in the MIP Documents will not affect the transfer restrictions that the NEOs will become subject to pursuant to any lock-up agreements that they enter into with the underwriters.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 Compensation Policy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expect to adopt a non-employee director compensation policy to govern compensation paid to our non-employee directors. The non-employee director compensation policy will be designed to provide competitive compensation necessary to attract and retain high quality non-employee directors. We expect to continue to pay a combination of cash retainers and equity awards to each of our non-employee directors (other than those designated, nominated or appointed by or on behalf of our principal stockholders or those serving in an emeritus position, in each case, unless otherwise determined by our Board of Directors) for his or her services on our Board of Directors. We also expect to provide each non-employee director with reimbursement for reasonable travel and miscellaneous expenses incurred in attending meetings and activities of our Board of Directors and its committees.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rom66194_911"/>
      <w:bookmarkEnd w:id="14"/>
      <w:r>
        <w:rPr>
          <w:rFonts w:ascii="Times New Roman" w:hAnsi="Times New Roman"/>
          <w:b/>
          <w:sz w:val="20"/>
        </w:rPr>
        <w:t xml:space="preserve">PRINCIPAL AND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beneficial ownership of our common stock as of December 31, 2025, after giving effect to the stock split, that, upon the consummation of this offering and the Repurchases, and assuming the underwriters do not exercise their option to purchase additional common stock, will be owned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more than 5% of any class of our outstanding voting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6"/>
        <w:gridCol w:w="102"/>
        <w:gridCol w:w="9389"/>
      </w:tblGrid>
      <w:tr>
        <w:trPr/>
        <w:tc>
          <w:tcPr>
            <w:tcW w:w="4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director and NEO;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selling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unless otherwise noted in the footnotes to the following table, and subject to applicable community property laws, the persons named in the table have sole voting and investment power with respect to their beneficially owned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Securities subject to option grants and restricted stock unit awards that have vested or will vest, and settled, or will settle, within 60 days are deemed outstanding for calculating the percentage ownership of the person holding such options or restricted stock units, but are not deemed outstanding for calculating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excludes any purchases that may be made in this offering through our directed share program or otherwise in this offering. See “Underwriting (Conflicts of Interest) — Directed Share Program.”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in the footnotes below, the address of each beneficial owner is c/o Hornbeck Offshore Services, Inc., 103 Northpark Boulevard, Suite 300, Covington, Louisiana 70433.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9"/>
        <w:gridCol w:w="304"/>
        <w:gridCol w:w="156"/>
        <w:gridCol w:w="1038"/>
        <w:gridCol w:w="60"/>
        <w:gridCol w:w="304"/>
        <w:gridCol w:w="87"/>
        <w:gridCol w:w="1103"/>
        <w:gridCol w:w="60"/>
        <w:gridCol w:w="304"/>
        <w:gridCol w:w="572"/>
        <w:gridCol w:w="573"/>
        <w:gridCol w:w="202"/>
        <w:gridCol w:w="571"/>
        <w:gridCol w:w="213"/>
        <w:gridCol w:w="947"/>
        <w:gridCol w:w="282"/>
      </w:tblGrid>
      <w:tr>
        <w:trPr/>
        <w:tc>
          <w:tcPr>
            <w:tcW w:w="3429"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42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619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r>
          </w:p>
        </w:tc>
        <w:tc>
          <w:tcPr>
            <w:tcW w:w="282" w:type="dxa"/>
            <w:tcBorders/>
            <w:vAlign w:val="bottom"/>
          </w:tcPr>
          <w:p>
            <w:pPr>
              <w:pStyle w:val="TableContents"/>
              <w:bidi w:val="0"/>
              <w:spacing w:before="0" w:after="283"/>
              <w:jc w:val="left"/>
              <w:rPr/>
            </w:pPr>
            <w:r>
              <w:rPr/>
              <w:t> </w:t>
            </w:r>
          </w:p>
        </w:tc>
      </w:tr>
      <w:tr>
        <w:trPr/>
        <w:tc>
          <w:tcPr>
            <w:tcW w:w="3429"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27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Prior to the Offering</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30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the Offering</w:t>
            </w:r>
          </w:p>
        </w:tc>
        <w:tc>
          <w:tcPr>
            <w:tcW w:w="282" w:type="dxa"/>
            <w:tcBorders/>
            <w:vAlign w:val="bottom"/>
          </w:tcPr>
          <w:p>
            <w:pPr>
              <w:pStyle w:val="TableContents"/>
              <w:bidi w:val="0"/>
              <w:spacing w:before="0" w:after="283"/>
              <w:jc w:val="left"/>
              <w:rPr/>
            </w:pPr>
            <w:r>
              <w:rPr/>
              <w:t> </w:t>
            </w:r>
          </w:p>
        </w:tc>
      </w:tr>
      <w:tr>
        <w:trPr/>
        <w:tc>
          <w:tcPr>
            <w:tcW w:w="3429" w:type="dxa"/>
            <w:tcBorders/>
            <w:vAlign w:val="bottom"/>
          </w:tcPr>
          <w:p>
            <w:pPr>
              <w:pStyle w:val="TableContents"/>
              <w:bidi w:val="0"/>
              <w:spacing w:before="0" w:after="283"/>
              <w:jc w:val="left"/>
              <w:rPr>
                <w:b/>
              </w:rPr>
            </w:pPr>
            <w:r>
              <w:rPr>
                <w:b/>
              </w:rPr>
              <w:t>Name of Beneficial Owner</w:t>
            </w:r>
          </w:p>
        </w:tc>
        <w:tc>
          <w:tcPr>
            <w:tcW w:w="304"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Beneficial</w:t>
              <w:br/>
              <w:t>Ownership</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Beneficial</w:t>
              <w:br/>
              <w:t>Ownership</w:t>
            </w:r>
          </w:p>
        </w:tc>
        <w:tc>
          <w:tcPr>
            <w:tcW w:w="202"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Total(1)</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Funds, investment vehicles or accounts managed or advised by Ares or its affiliates(2)</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41.41%</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Whitebox(3)</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22.15%</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Highbridge(4)</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10.48%</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Merced(5)</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6.96%</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b/>
                <w:sz w:val="20"/>
              </w:rPr>
            </w:pPr>
            <w:r>
              <w:rPr>
                <w:rFonts w:ascii="Times New Roman" w:hAnsi="Times New Roman"/>
                <w:b/>
                <w:sz w:val="20"/>
              </w:rPr>
              <w:t>Named Executive Officers, Directors and Director Nominees(6):</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947"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Todd M. Hornbeck(7)</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3.40%</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Carl G. Annessa(8)</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O. Harp, Jr.(9)</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Samuel A. Giberga(10)</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 S. Cook(11)</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Kurt M. Cellar(12)</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Evan Behrens(13)</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Bobby Jindal(14)</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Sylvia Jo Sydow Kerrigan(15)</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Jacob Mercer</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 Don Miller(16)</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Aaron Rosen</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0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34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James McConeghy</w:t>
            </w:r>
          </w:p>
        </w:tc>
        <w:tc>
          <w:tcPr>
            <w:tcW w:w="304"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103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3429"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(13 persons)(17)</w:t>
            </w:r>
          </w:p>
        </w:tc>
        <w:tc>
          <w:tcPr>
            <w:tcW w:w="304"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8.53%</w:t>
            </w:r>
          </w:p>
        </w:tc>
        <w:tc>
          <w:tcPr>
            <w:tcW w:w="60"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571"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of common stock underlying all Jones Act Warrants and Creditor Warrants. The warrants are immediately exercisable but are subject to certain citizenship rules and limitations on exercise, sale, transfer or other disposition.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 (i)      shares of common stock held of record by ASSF IV HOS AIV 1, L.P., (ii)      shares of common stock and      shares of common stock issuable upon the exercise of Jones Act Warrants held of record by ASSF IV HOS AIV 2, L.P., (iii)      shares of common stock and      shares of common stock issuable upon the exercise of Jones Act Warrants held of record by ASSF IV AIV B, L.P. and (iv)      shares of common stock,      shares of common stock issuable upon the exercise of Jones Act Warrants and      shares of common stock issuable upon the exercise of Creditor Warrants held of record by ASSF IV AIV B Holdings III, L.P. (the entities referred to in clause (a) collectively, the “Ares SSF Holders”); (b) (i)      shares of common stock held of record by ASOF HOS AIV 1, L.P., (ii)      shares of common stock and      shares of common stock issuable upon the exercise of Jones Act Warrants held of record by ASOF HOS AIV 2, L.P., (iii)      shares of common stock,      shares of common stock issuable upon the exercise of Jones Act Warrants and      shares of common stock issuable upon the exercise of Creditor Warrants held of record by ASOF Holdings I, L.P., (iv)      shares of common stock and      shares of common stock issuable upon the exercise of Jones Act Warrants held of record by and ASOF II Holdings I, L.P. and (v)      shares of common stock and      shares of common stock issuable upon the exercise of Jones Act Warrants held of record by ASOF II A (DE) Holdings I, L.P. (the entities referred to in clause (b) collectively, the “Ares SOF Holders”); and (c)      shares of common stock,      shares of common stock issuable upon the exercise of Jones Act Warrants and      shares of common stock issuable upon the exercise of Creditor Warrants held of record by two accounts managed or subadvised by Ares Management LLC with respect to which the Ares Entities (as defined below) may be deemed to have shared voting or dispositive power with the owner of such account (the “Ares Managed Accounts” and, such shares, the “Ares Managed Shares”). The Ares SSF Holders, the Ares SOF Holders and the Ares Managed Accounts are collectively referred to as the “Ares Holders”. The Ares Entities disclaim beneficial ownership of the Ares Managed Shares for purposes of Section 16 and this registration statement shall not be deemed an admission that any of the Ares Entities are the beneficial owner of the Ares Managed Shares for purposes of Section 16 or for any other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 </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(we refer to all of the foregoing entities collectively as the Ares Entities) and (z) the investment manager or investment subadvisor of each of the Ares Managed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 </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Accordingly, each of the Ares Entities may be deemed to share beneficial ownership of the securities held of record by the Ares Holders, but each disclaims any such beneficial ownership of securities not held of record by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 </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Ares Partners is managed by a board of managers, which is composed of Michael J Arougheti, R. Kipp deVeer, David B. Kaplan, Antony P. Ressler and Bennett Rosenthal (collectively, the “Ares Board Members”). Mr. Ressler generally has veto authority over Ares Board Members’ decisions. Each of these individuals disclaims beneficial ownership of the securities that may be deemed to be beneficially owned by Ares Partners. The address for each of the Ares Entities is 1800 Avenue of the Stars, Suite 1400, Los Angeles, CA 90067.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issuable upon the exercise of Jones Act Warrants and     shares issuable upon exercise of Creditor Warrants. Whitebox is the investment manager of its affiliated entities (each, a “Whitebox Entity” and collectively, the “Whitebox Entities”) that own shares of our common stock and has voting and disposition control over the shares of common stock owned by the Whitebox Entities. Whitebox Advisors LLC is owned by the following members: Robert Vogel, Jacob Mercer, Nick Stukas, Brian Lutz, Paul Roos and Blue Owl GP Stakes II (A), LP, a non-voting member, and such individuals and entity disclaim beneficial ownership of the securities held by the Whitebox Entities, except to the extent of such individual or entity’s pecuniary interest therein, if any. The business address of Whitebox Advisors LLC and of each Whitebox Entity is 3033 Excelsior Blvd., Suite 500, Minneapolis, MN 55416.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and     shares issuable upon the exercise of Jones Act Warrants. Highbridge Capital Management, LLC is the trading manager of certain entities (collectively, the “Highbridge Entities”) that own shares. The Highbridge Entities disclaim beneficial ownership over these shares. The address of Highbridge Capital Management, LLC is 390 Madison Avenue 28th Floor, New York, NY 10017, and the address of the Highbridge Entities is c/o Maples Corporate Services Limited, #309 Ugland House, South Church Street, George Town, Grand Cayman KY1-1104, Cayman Islands.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and     shares issuable upon exercise of Creditor Warrants. Merced Capital, L.P. (“Merced”) is the general partner of and/or investment adviser to certain entities (collectively, the “Merced Entities”) that directly hold shares of our common stock and Creditor Warrants. Merced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Merced Capital Partners, Mr. Ericson, Mr. Vertin, and Mr. Brown may be deemed to share voting and investment control over the shares of common stock reported in the table; however, each of Mr. Ericson, Mr. Vertin, and Mr. Brown disclaim beneficial ownership of the shares of common stock reported in the table. The business address for Merced, Merced Capital Partners, Mr. Ericson, Mr. Vertin, Mr. Brown, and each of the Merced Entities is 701 Carlson Parkway, Suite 1110, Minnetonka, MN, 55305.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reported includes shares covered by options and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(as defined in the 2020 Management Incentive Plan)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(10)</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vAlign w:val="center"/>
          </w:tcPr>
          <w:p>
            <w:pPr>
              <w:pStyle w:val="TableContents"/>
              <w:bidi w:val="0"/>
              <w:spacing w:before="0" w:after="283"/>
              <w:jc w:val="left"/>
              <w:rPr/>
            </w:pPr>
            <w:r>
              <w:rPr/>
              <w:t> </w:t>
            </w:r>
          </w:p>
        </w:tc>
        <w:tc>
          <w:tcPr>
            <w:tcW w:w="9696" w:type="dxa"/>
            <w:tcBorders/>
          </w:tcPr>
          <w:p>
            <w:pPr>
              <w:pStyle w:val="TableContents"/>
              <w:bidi w:val="0"/>
              <w:spacing w:before="0" w:after="283"/>
              <w:jc w:val="left"/>
              <w:rPr/>
            </w:pPr>
            <w:r>
              <w:rPr/>
              <w:t xml:space="preserve">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(13)</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and     shares of common stock under options or restricted stock units that are exercisable or may be settled within 60 days.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shares of common stock,     shares of common stock under vested but unsettled restricted stock units,     shares of common stock under stock options or performance stock units that may vest in the event of a change of control or an initial public offering if certain performance criteria are met and     shares of common stock under options or restricted stock units that are exercisable or may be settled within 60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rom66194_912"/>
      <w:bookmarkEnd w:id="15"/>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discussion of transactions between the Company and its executive officers, directors and stockholders beneficially owning more than 5% of our common stock. We believe that the terms of each of these transactions are at least as favorable as could have been obtained in similar transactions with unaffiliated third parties.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entered into a separate indemnity agreement with each of its officers and directors that provides, among other things, that the Company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the Company, and otherwise to the fullest extent permitted under Delaware law and the Company’s amended and restated bylaws. These agreements are in addition to the indemnification provided to the Company’s officers and directors under its amended and restated bylaws and in accordance with Delaware law. </w:t>
      </w:r>
    </w:p>
    <w:p>
      <w:pPr>
        <w:pStyle w:val="TextBody"/>
        <w:bidi w:val="0"/>
        <w:spacing w:before="240" w:after="0"/>
        <w:jc w:val="left"/>
        <w:rPr>
          <w:rFonts w:ascii="Times New Roman" w:hAnsi="Times New Roman"/>
          <w:sz w:val="20"/>
        </w:rPr>
      </w:pPr>
      <w:r>
        <w:rPr>
          <w:rFonts w:ascii="Times New Roman" w:hAnsi="Times New Roman"/>
          <w:sz w:val="20"/>
        </w:rPr>
        <w:t xml:space="preserve">For the past 29 years, Larry D. Hornbeck’s family has personally supported the development of the Company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Board meetings and special Company promotional events. The Ranch also plays a vital role in the Company’s business continuity plan in the event our corporate headquarters is impacted by a natural disaster. Until December 31, 2005, these facilities were used by the Company without charge. The Company has determined that the use of the Ranch in the past and going forward has been and is beneficial to the Company’s business. On September 4, 2020, the Company entered into an Amended and Restated Facilities Use Agreement and implemented the Second Amended and Restated Indemnification Agreement (the “Indemnification Agreement”) with Larry D. Hornbeck, as well as certain other indemnitees, regarding the Ranch.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Agreement provides for indemnification by the Company of Larry D. Hornbeck, as well as certain other indemnitees, including the Company’s Chairman, President and Chief Executive Officer, Todd M. Hornbeck, for any claims, demands, causes of action and damages that may arise out of the Company’s use of the Ranch and related facilities and premises. The Indemnification Agreement also provides that the Company shall secure and maintain insurance coverage of the types and amounts sufficient to provide adequate protection against the liabilities that may arise under the Indemnification Agreement. The Indemnification Agreement was acknowledged by the independent members of the Board of Directors on September 9, 2020. </w:t>
      </w:r>
    </w:p>
    <w:p>
      <w:pPr>
        <w:pStyle w:val="TextBody"/>
        <w:bidi w:val="0"/>
        <w:spacing w:before="240" w:after="0"/>
        <w:jc w:val="left"/>
        <w:rPr>
          <w:rFonts w:ascii="Times New Roman" w:hAnsi="Times New Roman"/>
          <w:sz w:val="20"/>
        </w:rPr>
      </w:pPr>
      <w:r>
        <w:rPr>
          <w:rFonts w:ascii="Times New Roman" w:hAnsi="Times New Roman"/>
          <w:sz w:val="20"/>
        </w:rPr>
        <w:t xml:space="preserve">The agreements govern the Company’s use of the Ranch and related facilities. The Facilities Use Agreement will remain in effect until December 31, 2026 unless it is terminated or extended by its terms. The Facilities Use Agreement automatically renews on an annual basis unless either party provides the other party 30 days written notice of termination. The Facilities Use Agreement also provides that the Company will pay Mr. Larry Hornbeck an annual use fee for the Company’s use of the facilities and provides for an operating budget to reimburse Mr. Larry Hornbeck for certain variable costs related to the Company’s use of the Ranch facilities and to replenish expendable goods used by Company invitees to the facilities. For 2022, the operating budget set by the Board was $325,000, inclusive of an annual use fee of $75,000. In the fall of 2022, in light of relaxed COVID-19 restrictions and market recovery, the Company fully reopened the lodge facilities, and the audit committee and the Board adjusted the operating budget to $415,000, inclusive of an annual use fee of $112,500. For 2023, the operating budget was set at $452,500, inclusive of an annual use fee of $150,000. For 2024, the operating budget was set at $450,000, inclusive of an annual use fee of $150,000. For 2025, the operating budget was set at $480,000, inclusive of an annual use fee of $150,000. </w:t>
      </w:r>
    </w:p>
    <w:p>
      <w:pPr>
        <w:pStyle w:val="TextBody"/>
        <w:bidi w:val="0"/>
        <w:spacing w:before="240" w:after="0"/>
        <w:jc w:val="left"/>
        <w:rPr>
          <w:rFonts w:ascii="Times New Roman" w:hAnsi="Times New Roman"/>
          <w:sz w:val="20"/>
        </w:rPr>
      </w:pPr>
      <w:r>
        <w:rPr>
          <w:rFonts w:ascii="Times New Roman" w:hAnsi="Times New Roman"/>
          <w:sz w:val="20"/>
        </w:rPr>
        <w:t xml:space="preserve">In 2006, Larry D. Hornbeck transferred ownership of the land on which the Ranch is located to a family limited partnership in which trusts on behalf of the children of Todd M. Hornbeck and Troy A. Hornbeck are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limited partners. The general partner of the family limited partnership is controlled by Todd M. Hornbeck and Troy A. Hornbeck. The family limited partnership has entered into a long-term lease of the property to Larry Hornbeck and acknowledged and agreed to the Company’s use of the Ranch and related facilities under the Facilities Use Agreement and the Indemnification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provided, and may, from time to time in the future at its own expense and with Mr. Larry Hornbeck’s prior approval, provide additional amenities for its representatives and invitees. Certain of these amenities may, by their nature, remain with the property should the Company ever cease to use the Ranch. In approving the Facilities Use Agreement and establishing the use fee amount, the audit committee and independent members of the Board considered the costs of comparable third-party facilities and determined that the combined facilities use fee and anticipated reimbursement of variable costs were substantially lower than costs for the use of such comparable facilities. </w:t>
      </w:r>
    </w:p>
    <w:p>
      <w:pPr>
        <w:pStyle w:val="TextBody"/>
        <w:bidi w:val="0"/>
        <w:spacing w:before="240" w:after="0"/>
        <w:jc w:val="left"/>
        <w:rPr>
          <w:rFonts w:ascii="Times New Roman" w:hAnsi="Times New Roman"/>
          <w:sz w:val="20"/>
        </w:rPr>
      </w:pPr>
      <w:r>
        <w:rPr>
          <w:rFonts w:ascii="Times New Roman" w:hAnsi="Times New Roman"/>
          <w:sz w:val="20"/>
        </w:rPr>
        <w:t xml:space="preserve">Mr. Larry Hornbeck has also agreed, among other things, to make himself available to the Company, the Chief Executive Officer of the Company, the Board of Directors or any committee of the Board of Directors to assist in the assessment of potential targets for acquisitions, to travel for Company projects, to attend industry meetings and to aid in other ways, in exchange for consideration of $20,333 per month paid as consulting fees pursuant to a consulting agreement dated as of September 4, 2020. This consulting agreement automatically renews on an annual basis unless either party provides the other party 30 days written notice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2022, Ms. Kerrigan assumed an officer role with an existing Hornbeck customer. For the nine months ended September 30, 2025 and the year ended December 31, 2024, the Company generated $52.1 million and $83.9 million of revenues from contracts with such customer, respectively, which accounted for approximately 9.6% and 13.1% of the Company’s total revenues, respectively. The Company had outstanding accounts receivable from this customer totaling $11.0 million and $9.4 million as of September 30,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Third and Fourth Amended and Restated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Third A&amp;R License Agreement, the Company is required to make an annual payment to HFR of $1.0 million for use of the Hornbeck Brands. An additional fee is due upon the Company achieving certain EBITDA thresholds. The Company made payments of $2.0 million to HFR during each of the years ended December 31, 2024 and 2023, respectively, for licensing fees associated with the use of the Hornbeck Brands. Upon closing of this offering, the Company will have entered into a Fourth Amended and Restated Trade Name and Trademark License Agreement (the “Fourth A&amp;R License Agreement”) that eliminates the ongoing annual $1 million fee and EBITDA bonus in exchange for a single one-time payment of $10 million paid to HFR. The license will be for ten years and renewable for an additional ten years for a payment of $10 million (adjusted for inflation over the first ten-year term). For additional details and risks associated with the Fourth A&amp;R License Agreement, see “Risk Factors—We do not own the Hornbeck Brands, but may use the Hornbeck Brands pursuant to the terms of a license granted by HFR, and our business may be materially harmed if we breach our license agreement or it is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Amended and Restated Securityholders’ Agreement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A&amp;R Securityholders Agreement, we will agree to take all necessary action (subject to applicable law) to cause the election of each director designated by the principal stockholders managed or advised by Ares, Highbridge or Whitebox or their respective affiliates in their capacities as Appointing Persons in accordance with the terms of our amended and restated certificate of incorporation. The A&amp;R Securityholders’ Agreement also provides that we will agree to take all necessary action (subject to applicable law) to cause any vacancies created by death, resignation, removal, retirement or disqualification of a director designated by an Appointing Person to be filled by such Appointing Person in accordance with the terms of our amended and restated certificate of incorporation. The A&amp;R Securityholders Agreement will also provide our principal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stockholders with certain information rights, including certain limited access to our books, records and accounts and the ability to share such information with our principal stockholders, for so long as such holder owns at least the Minimum Threshold of our Fully Diluted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this offering, we will enter into a registration rights agreement (the “Registration Rights Agreement”) with our principal stockholders granting them certain registration rights. Specifically, we will agree to register the sale of shares of our common stock owned by, or issuable upon exercise of the Jones Act Warrants and Creditor Warrants owned by, such principal stockholders under certain circumstances, and to provide such principal stockholders with certain customary demand and “piggyback” rights. These registration rights will be subject to certain conditions and limitations. We will generally be obligated to pay all registration expenses in connection with these registration obligations, regardless of whether a registration statement is filed or becomes effective. </w:t>
      </w:r>
    </w:p>
    <w:p>
      <w:pPr>
        <w:pStyle w:val="TextBody"/>
        <w:bidi w:val="0"/>
        <w:spacing w:before="360" w:after="0"/>
        <w:jc w:val="left"/>
        <w:rPr>
          <w:rFonts w:ascii="Times New Roman" w:hAnsi="Times New Roman"/>
          <w:b/>
          <w:sz w:val="20"/>
        </w:rPr>
      </w:pPr>
      <w:r>
        <w:rPr>
          <w:rFonts w:ascii="Times New Roman" w:hAnsi="Times New Roman"/>
          <w:b/>
          <w:sz w:val="20"/>
        </w:rPr>
        <w:t xml:space="preserve">Creditor Warrant Repurchases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pricing of this offering, we intend to enter into the Creditor Warrant Repurchase Agreements with certain of the selling stockholders, including certain of the Ares principal stockholders, certain of the Whitebox Entities and certain of the Merced Entities. Pursuant to the terms of the Creditor Warrant Repurchase Agreements, immediately following the closing of this offering we will repurchase an aggregate of      Creditor Warrants from the applicable selling stockholders for an aggregate purchase price payable by us to the applicable selling stockholders equal to approximately $     million, assuming the number of shares offered by us, as set forth on the cover page of this prospectus, remains the same and an initial public offering price of $     per share (which is the midpoint of the estimated offering price range shown on the cover page of this prospectus), including an aggregate purchase price of $    , $     and $     payable to certain of the Ares principal stockholders, certain of the Whitebox Entities and certain of the Merced Entities, respectively. Under the Creditor Warrant Repurchase Agreements, the purchase price per Creditor Warrant payable by us will be equal to the product of (i) the price per share of common stock to be paid by the underwriters in this offering, less $     (the per share exercise price of the Creditor Warrants, after giving effect to the stock split), multiplied by (ii)     , the number of shares of common stock issuable upon full exercise of each Creditor Warrant (after giving effect to the stock split). </w:t>
      </w:r>
    </w:p>
    <w:p>
      <w:pPr>
        <w:pStyle w:val="TextBody"/>
        <w:bidi w:val="0"/>
        <w:spacing w:before="240" w:after="0"/>
        <w:jc w:val="left"/>
        <w:rPr>
          <w:rFonts w:ascii="Times New Roman" w:hAnsi="Times New Roman"/>
          <w:sz w:val="20"/>
        </w:rPr>
      </w:pPr>
      <w:r>
        <w:rPr>
          <w:rFonts w:ascii="Times New Roman" w:hAnsi="Times New Roman"/>
          <w:sz w:val="20"/>
        </w:rPr>
        <w:t xml:space="preserve">The Repurchases are expected to occur substantially concurrently with the closing of this offering. The closing of each Repurchase is conditioned upon the consummation of this offering. However, this offering is not conditioned upon the consummation of any Repurchase, and none of the Repurchases are conditioned upon the consummation of any other Repurchase.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left"/>
        <w:rPr>
          <w:rFonts w:ascii="Times New Roman" w:hAnsi="Times New Roman"/>
          <w:sz w:val="20"/>
        </w:rPr>
      </w:pPr>
      <w:r>
        <w:rPr>
          <w:rFonts w:ascii="Times New Roman" w:hAnsi="Times New Roman"/>
          <w:sz w:val="20"/>
        </w:rPr>
        <w:t xml:space="preserve">At our request, the underwriters have reserved up to 5% of the shares of common stock offered by this prospectus for sale, at the initial public offering price to certain individuals through a directed share program, including our directors, officers, employees and other persons identified by the Company. The number of shares of our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Participants in the directed share program will not be subject to the terms of any lock-up agreement with respect to any shares purchased through the directed share program, except in the case of shares purchased by any of our directors or officers, and our existing significant stockholders. J.P. Morgan Securities LLC will administer our directed share program. We have agreed to indemnify J.P. Morgan Securities LLC in connection with the directed share program, including for the failure of any participant to pay for its shares. Other than the underwriting discount set forth on the cover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page of this prospectus, the underwriters will not be entitled to any commission with respect to shares of our common stock sold pursuant to the directed share program. See “Underwriting (Conflicts of Interest)—Directed Share Program.” </w:t>
      </w:r>
    </w:p>
    <w:p>
      <w:pPr>
        <w:pStyle w:val="TextBody"/>
        <w:bidi w:val="0"/>
        <w:spacing w:before="360" w:after="0"/>
        <w:jc w:val="left"/>
        <w:rPr>
          <w:rFonts w:ascii="Times New Roman" w:hAnsi="Times New Roman"/>
          <w:b/>
          <w:sz w:val="20"/>
        </w:rPr>
      </w:pPr>
      <w:r>
        <w:rPr>
          <w:rFonts w:ascii="Times New Roman" w:hAnsi="Times New Roman"/>
          <w:b/>
          <w:sz w:val="20"/>
        </w:rPr>
        <w:t xml:space="preserve">Review, Approval or Ratification of Transactions with Related Persons. </w:t>
      </w:r>
    </w:p>
    <w:p>
      <w:pPr>
        <w:pStyle w:val="TextBody"/>
        <w:bidi w:val="0"/>
        <w:spacing w:before="120" w:after="0"/>
        <w:jc w:val="left"/>
        <w:rPr>
          <w:rFonts w:ascii="Times New Roman" w:hAnsi="Times New Roman"/>
          <w:sz w:val="20"/>
        </w:rPr>
      </w:pPr>
      <w:r>
        <w:rPr>
          <w:rFonts w:ascii="Times New Roman" w:hAnsi="Times New Roman"/>
          <w:sz w:val="20"/>
        </w:rPr>
        <w:t xml:space="preserve">We review any transaction in which the Company, a subsidiary of the Company, or our directors, executive officers or their immediate family members or any nominee for director or a holder of more than 5% of any class of our voting security are a participant and the amount of the transaction exceeds $120,000. Our General Counsel and Secretary is primarily responsible for the development and implementation of processes and controls to obtain information from directors and officers with respect to a related party transaction, including information provided to management in the annual director and officer questionnaires. The Company’s practice when such matters have been disclosed has been to refer the matter for consideration and final determination by the audit committee or the independent directors of the Board of Directors, or both, which have considered the fairness of the transaction to the Company, as well as other factors bearing upon its appropriateness. In all such matters, any director having a conflicting interest abstains from voting on the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rom66194_12"/>
      <w:bookmarkEnd w:id="16"/>
      <w:r>
        <w:rPr>
          <w:rFonts w:ascii="Times New Roman" w:hAnsi="Times New Roman"/>
          <w:b/>
          <w:sz w:val="20"/>
        </w:rPr>
        <w:t xml:space="preserve">DESCRIPTION OF CAPITAL STOCK AND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description of the material terms of, and is qualified in its entirety by, our amended and restated certificate of incorporation, our amended and restated bylaws, the A&amp;R Securityholders Agreement, each of which will be in effect upon the consummation of this offering, the Jones Act Warrant Agreement (as defined below) and the Creditor Warrant Agreement (as defined below), all of which are filed as exhibits to the registration statement of which this prospectus is a part.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this offering and after giving effect to the stock split, our authorized capital stock of will consist of      shares of common stock, par value $0.00001 per share, of which      shares will be issued and outstanding, and      shares of preferred stock, par value $0.00001 per share, of which no shares will be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Following this offering, we will have one outstanding class of stock, our common stock, and all voting rights will be vested in the holders of our common stock. On all matters subject to a vote of stockholders, stockholders will be entitled to one vote for each share of common stock owned. Stockholders will not have cumulative voting rights with respect to the election of directors. </w:t>
      </w:r>
    </w:p>
    <w:p>
      <w:pPr>
        <w:pStyle w:val="TextBody"/>
        <w:bidi w:val="0"/>
        <w:spacing w:before="24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Holders of common stock will be entitled to receive dividends, if any, in the amounts and at the times declared by the Board of Directors. </w:t>
      </w:r>
    </w:p>
    <w:p>
      <w:pPr>
        <w:pStyle w:val="TextBody"/>
        <w:bidi w:val="0"/>
        <w:spacing w:before="240" w:after="0"/>
        <w:jc w:val="left"/>
        <w:rPr>
          <w:rFonts w:ascii="Times New Roman" w:hAnsi="Times New Roman"/>
          <w:sz w:val="20"/>
        </w:rPr>
      </w:pPr>
      <w:r>
        <w:rPr>
          <w:rFonts w:ascii="Times New Roman" w:hAnsi="Times New Roman"/>
          <w:i/>
          <w:sz w:val="20"/>
        </w:rPr>
        <w:t>Liquidation Rights</w:t>
      </w:r>
      <w:r>
        <w:rPr>
          <w:rFonts w:ascii="Times New Roman" w:hAnsi="Times New Roman"/>
          <w:sz w:val="20"/>
        </w:rPr>
        <w:t xml:space="preserve">. Upon our liquidation, dissolution or winding-up, the assets legally available for distribution to our stockholders would be distributable ratably among the holders of our common stock and any participating preferred stock outstanding at that time after payment of liquidation preferences, if any, on any outstanding shares of preferred stock and payment of claims of creditors. </w:t>
      </w:r>
    </w:p>
    <w:p>
      <w:pPr>
        <w:pStyle w:val="TextBody"/>
        <w:bidi w:val="0"/>
        <w:spacing w:before="240" w:after="0"/>
        <w:jc w:val="left"/>
        <w:rPr>
          <w:rFonts w:ascii="Times New Roman" w:hAnsi="Times New Roman"/>
          <w:sz w:val="20"/>
        </w:rPr>
      </w:pPr>
      <w:r>
        <w:rPr>
          <w:rFonts w:ascii="Times New Roman" w:hAnsi="Times New Roman"/>
          <w:i/>
          <w:sz w:val="20"/>
        </w:rPr>
        <w:t>Assessment and Redemption</w:t>
      </w:r>
      <w:r>
        <w:rPr>
          <w:rFonts w:ascii="Times New Roman" w:hAnsi="Times New Roman"/>
          <w:sz w:val="20"/>
        </w:rPr>
        <w:t xml:space="preserve">. All shares of common stock that will be outstanding at the time of the completion of the offering will be validly issued, fully paid and nonassessable. There will be no provision for any voluntary redemption of common stock. </w:t>
      </w:r>
    </w:p>
    <w:p>
      <w:pPr>
        <w:pStyle w:val="TextBody"/>
        <w:bidi w:val="0"/>
        <w:spacing w:before="240" w:after="0"/>
        <w:jc w:val="left"/>
        <w:rPr>
          <w:rFonts w:ascii="Times New Roman" w:hAnsi="Times New Roman"/>
          <w:sz w:val="20"/>
        </w:rPr>
      </w:pPr>
      <w:r>
        <w:rPr>
          <w:rFonts w:ascii="Times New Roman" w:hAnsi="Times New Roman"/>
          <w:i/>
          <w:sz w:val="20"/>
        </w:rPr>
        <w:t>Preemptive Rights</w:t>
      </w:r>
      <w:r>
        <w:rPr>
          <w:rFonts w:ascii="Times New Roman" w:hAnsi="Times New Roman"/>
          <w:sz w:val="20"/>
        </w:rPr>
        <w:t xml:space="preserve">. Upon the completion of this offering, holders of our common stock will not have any preemptive right to subscribe to an additional issue of its common stock or to any security convertible into such stock. </w:t>
      </w:r>
    </w:p>
    <w:p>
      <w:pPr>
        <w:pStyle w:val="TextBody"/>
        <w:bidi w:val="0"/>
        <w:spacing w:before="240" w:after="0"/>
        <w:jc w:val="left"/>
        <w:rPr>
          <w:rFonts w:ascii="Times New Roman" w:hAnsi="Times New Roman"/>
          <w:sz w:val="20"/>
        </w:rPr>
      </w:pPr>
      <w:r>
        <w:rPr>
          <w:rFonts w:ascii="Times New Roman" w:hAnsi="Times New Roman"/>
          <w:i/>
          <w:sz w:val="20"/>
        </w:rPr>
        <w:t>Limitations on Ownership by Non-U.S. Citizens</w:t>
      </w:r>
      <w:r>
        <w:rPr>
          <w:rFonts w:ascii="Times New Roman" w:hAnsi="Times New Roman"/>
          <w:sz w:val="20"/>
        </w:rPr>
        <w:t xml:space="preserve">. We own and operate U.S.-flag vessels in the U.S. coastwise trade. Accordingly,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restricts ownership of the shares of our outstanding common stock by non-U.S. citizens in the aggregate to not more than 21%, with certain limited grandfathered circumstances allowing up to 24% of the outstanding shares of our common stock to be owned by non-U.S. citizens on and after the effective date of the initial public offering. As of December 31, 2025, approximately 23.8% of the Company’s issued and outstanding common stock is owned by non-U.S. citizens and, after giving effect to this offering, the Company expects the percentage of its common stock owned by non-U.S. citizens to decrease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 Our amended and restated certificate of incorporation further prohibits the acquisition of shares by a non-U.S. citizen where (i) such acquisition would cause the aggregate number of shares held by all non-U.S. citizens to exceed 21% of our issued and outstanding common stock and (ii) such acquisition would cause the aggregate number of shares held by any individual non-U.S. citizen to exceed 4.9% of our issued and outstanding common stock. Our amended and restated certificate of incorporation further provides the Board of Directors with authority to redeem any share of common stock that is owned by non-U.S. citizens that would result in ownership by non-U.S. citizens in the aggregate in excess of 21% of our issued and outstanding common stock,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Our amended and restated certificate of incorporation further provides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following this offering, we will have two series of outstanding warrants: (i) warrants issued to certain creditors of the Company in settlement of the Creditor Warrants and (ii) warrants issued to certain non-U.S. citizens in settlement of certain prepetition liabilities in connection with the consummation of the Chapter 11 Cases (the “Jones Act Warrants” and together with the Creditor Warrants,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Creditor Warrants have seven-year terms and are exercisable through September 4, 2027. Each Creditor Warrant represents the right to purchase one share (     shares after giving effect to the stock split) of common stock, par value $0.00001 per share, at an exercise price of $27.83 per share ($    per share after giving effect to the stock split), subject to certain adjustments as provided in the Creditor Warrant Agreement, dated as of September 4, 2020 (as amended,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offering and after giving effect to the stock split and the Repurchases, there will be outstanding Creditor Warrants to purchase up to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Jones Act Warrants have a perpetual term and are exercisable until the date on which no Jones Act Warrants remain outstanding. Each Jones Act Warrant represents the right to purchase one share of common stock, par value $0.00001 per share, for an exercise price of $0.00001 per share, subject to certain adjustments as provided in, and all other terms and conditions of, the Jones Act Warrant Agreement, dated as of September 4, 2020 (as amended, the “Jones Act Warrant Agreement”), pursuant to which such warrants were issued, including the limitations on foreign ownership as set forth in our amended and restated certificate of incorporation that are intended to assist us in complying with the Jones Act. </w:t>
      </w:r>
    </w:p>
    <w:p>
      <w:pPr>
        <w:pStyle w:val="TextBody"/>
        <w:bidi w:val="0"/>
        <w:spacing w:before="240" w:after="0"/>
        <w:jc w:val="left"/>
        <w:rPr>
          <w:rFonts w:ascii="Times New Roman" w:hAnsi="Times New Roman"/>
          <w:sz w:val="20"/>
        </w:rPr>
      </w:pPr>
      <w:r>
        <w:rPr>
          <w:rFonts w:ascii="Times New Roman" w:hAnsi="Times New Roman"/>
          <w:sz w:val="20"/>
        </w:rPr>
        <w:t xml:space="preserve">Following this offering and after giving effect to the stock split, assuming no issuance or exercise of additional Jones Act Warrants, there will be outstanding Jones Act Warrants to purchase up to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issue up to     shares of our preferred stock in one or more series, to establish from time to time the number of shares to be included in each series, to fix the designation, powers, preferences and rights of the shares of each series and any qualifications, limitations or restrictions thereof, in each case without further action by our stockholders. Subject to the terms of any series of preferred stock so designated, our Board of Directors will also be authorized to increase or decrease the number of shares of any series of preferred stock, but not below the number of shares of that series then outstanding. Our Board of Directors will be able to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 We have no current plan to issue any shares of preferred stock in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Limitations on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As permitted by the DGCL, our amended and restated certificate of incorporation contains provisions that eliminate the personal liability of our directors and officers to us and our stockholders to the fullest extent permitted by the DGCL. However, these provisions do not limit or eliminate the rights of us or any stockholder to seek an injunction or any other non-monetary relief in the event of a breach of a director or officer’s fiduciary duty and do not limit or eliminate the liability of directors under the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to the fullest extent authorized or permitted by the DGCL, as now in effect or as amended, we will indemnify any person who was or is a party or is threatened to be made a party to or is otherwise involved (including involvement, without limitation, as a witness) in any actual or threatened action, suit or proceeding by reason of the fact that such person is or was our director, advisory director, board observer or officer, or by reason of the fact that our director, advisory director, board observer or officer is or was serving, at our request, as a director, advisory director, board observer, officer, employee or agent of another corporation or of a partnership, joint venture, trust or other enterprise, including service with respect to employee benefit plans. We will indemnify such persons against expenses, liabilities, and loss (including attorneys’ fees and related disbursements, judgments, fines, excise taxes or penalties under the Employee Retirement Income Security Act of 1974, penalties and amounts paid in settlement) reasonably incurred or suffered in connection with such action. Our amended and restated certificate of incorporation further provides that we shall only be required to indemnify a person potentially eligible for indemnification (as specified above) in connection with a proceeding commenced by such person if the commencement of such proceeding (or part thereof) by the person was authorized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DGCL permits us to purchase and maintain insurance on behalf of any person who is such a director or officer for acts committed or omissions in their capacities as such directors or officers. We currently hold and intend to maintain such liability insurance.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and our amended and restated certificate of incorporation and bylaws may have an anti-takeover effect and may delay, defer or prevent a merger, acquisition, tender offer, takeover attempt or other change of control transaction or other attempts to influence or replace our incumbent directors and officers. These provisions are summarized below.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203 of the DGCL</w:t>
      </w:r>
      <w:r>
        <w:rPr>
          <w:rFonts w:ascii="Times New Roman" w:hAnsi="Times New Roman"/>
          <w:sz w:val="20"/>
        </w:rPr>
        <w:t xml:space="preserve">. We have opted out of Section 203 of the DGCL. This statute prevents certain Delaware corporations, under certain circumstances, from engaging in a “business combination” with any interested shareholder for a period of three years following the date that the shareholder became an interested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 with certain exceptions. We have opted out of the provisions of Section 203 of the DGCL because we believe this statute could prohibit or delay mergers or other change in control attempts, and thus may discourage attempts to acquire us.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but Unissued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the Board of Directors to issue authorized but unissued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the Board of Directors with the authority to determine and fix the powers, preferences, rights, qualifications, limitations and restrictions of shares of preferred stock issued by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Nomination Rights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following the completion of this offering, the Ares principal stockholders will have the right to nominate to our Board of Directors (i) two nominees for so long as the Ares principal stockholders beneficially own 20% or greater of our Fully Diluted Securities and (ii) one nominee for so long as the Ares principal stockholders beneficially own at least the Minimum Threshold of our Fully Diluted Securities, but less than 20% of our Fully Diluted Securities. Aaron Rosen and James McConeghy will be the initial director nominees of the Ares principal stockholders. The Highbridge principal stockholders will have the right to nominate to our Board of Directors one nominee for so long as the Highbridge principal stockholders beneficially own at least the Minimum Threshold of our Fully Diluted Securities. Sylvia Jo Sydow Kerrigan will be the initial director nominee of the Highbridge principal stockholders. The Whitebox principal stockholders will have the right to nominate to our Board of Directors one nominee for so long as the Whitebox principal stockholders beneficially own at least the Minimum Threshold of our Fully Diluted Securities. Jacob Mercer will be the initial director nominee of the Whitebox principal stockholders. Further, for so long as any Appointing Person beneficially owns at least the Minimum Threshold of our Fully Diluted Securities, subject to applicable law and NYSE rules, such Appointing Person shall have the right to designate one director to serve on each of the compensation and the nominating, corporate governance and sustainability committees of our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Consent Rights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for so long as the principal stockholders who retain director nomination rights collectively own at least 30% of the Fully Diluted Securities, the following actions will require the prior written consent of the Ares principal stockholders and at least one of Highbridge or Whitebox: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Merging or consolidating with or into any other entity, or transferring all or substantially all of our assets, taken as a whole, to another entity, or undertaking any transaction that would constitute a “Change of Control” as defined in the Company’s debt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4"/>
        <w:gridCol w:w="101"/>
        <w:gridCol w:w="9393"/>
      </w:tblGrid>
      <w:tr>
        <w:trPr/>
        <w:tc>
          <w:tcPr>
            <w:tcW w:w="40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Acquiring or disposing of assets, in a single transaction or a series of related transactions, or entering into joint ventures, investments into an unrelated party or contracts (other than charter agreements consistent with past practice), in each case with a value in excess of the greater of (i) thirty percent of the total assets of the Company and its subsidiaries consolidated as of the end of the most recently completed fiscal year and (ii) $30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Incurring indebtedness in a single transaction or a series of related transactions in an aggregate principal amount that both (i) causes the Company’s ratio of debt to EBITDA to exceed 3:1 and (ii) exceeds $50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Appointing, removing, terminating, hiring or designating the Chief Executive Officer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Issuing the equity of the Company or any of its subsidiaries other than pursuant to an equity compensation plan approved by the stockholders or a majority of the directors nominated by the Appointing Persons;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any transactions, agreements, arrangements or payments with any Appointing Person or any other person who, together with its affiliates, owns greater than or equal to 10% of the common stock then outstanding that are material or involve aggregate payments or receipts in excess of $250,000;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Commencing any liquidation, dissolution or voluntary bankruptcy, administration, recapitalization or reorganization;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or decreasing the size of the Board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any agreement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so long as any of the principal stockholders own any Fully Diluted Securities, each of the following actions shall require the prior written consent of such principal stockholder: (i) any amendment, waiver or other modification of the A&amp;R Securityholders Agreement or any other stockholders’ agreement with respect to the shares of common stock to which such principal stockholder is a party; and (ii) any amendment of our amended and restated certificate of incorporation or amended and restated certificate bylaws that adversely affects any personal right of such principal stockholder thereunder in any material respect or disproportionately and adversely affects such principal stockholder thereunder in any material respect. </w:t>
      </w:r>
    </w:p>
    <w:p>
      <w:pPr>
        <w:pStyle w:val="TextBody"/>
        <w:bidi w:val="0"/>
        <w:spacing w:before="360" w:after="0"/>
        <w:jc w:val="left"/>
        <w:rPr>
          <w:rFonts w:ascii="Times New Roman" w:hAnsi="Times New Roman"/>
          <w:b/>
          <w:sz w:val="20"/>
        </w:rPr>
      </w:pPr>
      <w:r>
        <w:rPr>
          <w:rFonts w:ascii="Times New Roman" w:hAnsi="Times New Roman"/>
          <w:b/>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advance notice procedures for stockholders to nominate candidates for election as directors at our annual and special meetings of stockholders and for stockholders seeking to bring business before its annual meeting of stockholders. Our amended and restated bylaws also specify certain requirements regarding the form and content of a stockholder’s notice.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Amendments of the Amended and Restated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At any time after the date that the Appointing Persons cease to collectively own at least 35% of our outstanding common stock (the “Trigger Date”), the amendment of certain customary provisions of our amended and restated certificate of incorporation will require the approval of at least two-thirds of the voting power of our outstanding common stock. Subject to the consent rights described above, the Board of Directors may amend our amended and restated bylaws without stockholder approval, and the stockholders may amend our amended and restated bylaws by the affirmative vote of a majority of the voting power of our outstanding common stock; provided, however, that after the Trigger Date, the stockholders may amend our amended and restated bylaws only upon the affirmative vote of two-thirds of the voting power of our outstanding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Size of the Board of Directors and Vacancies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Board of Directors consist of not less than seven members and not more than eleven members, and shall initially consist of ten members upon completion of this offering. Subject to the foregoing, the number of members may be fixed by a resolution adopted by a majority of the Board of Directors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rights granted to the holders of any one or more series of preferred stock then outstanding, and unless otherwise required by law, any vacancies on the Board of Directors, and any newly created directorships resulting from any increase in the authorized number of directors, will be filled only by the affirmative vote of a majority of the directors then in office, even if less than a quorum, or by a sole remaining director, in each case, in the manner permitted by the A&amp;R Securityholders Agreement and our amended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restated certificate of incorporation and subject to the rights of the Appointing Persons set forth in the A&amp;R Securityholders Agreement and our amended and restated certificate of incorporation. Notwithstanding the foregoing, our amended and restated certificate of incorporation provides that if at any time the Chief Executive Officer of the Company is removed, resigns or is otherwise replaced, then such person shall automatically, and without any action by the Board of Directors or the stockholders of the Company, cease to be a director, and such vacancy shall be reserved for and filled by the successor Chief Executive Officer. </w:t>
      </w:r>
    </w:p>
    <w:p>
      <w:pPr>
        <w:pStyle w:val="TextBody"/>
        <w:bidi w:val="0"/>
        <w:spacing w:before="360" w:after="0"/>
        <w:jc w:val="left"/>
        <w:rPr>
          <w:rFonts w:ascii="Times New Roman" w:hAnsi="Times New Roman"/>
          <w:b/>
          <w:sz w:val="20"/>
        </w:rPr>
      </w:pPr>
      <w:r>
        <w:rPr>
          <w:rFonts w:ascii="Times New Roman" w:hAnsi="Times New Roman"/>
          <w:b/>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Directors may be removed with or without cause by the affirmative vote of at least a majority of the voting power of our outstanding common stock. Each Appointing Person will have the right to remove without cause any director that is an employee of such Appointing Person and that was designated by such Appointing Person.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Ownership by Non-U.S. Citizens </w:t>
      </w:r>
    </w:p>
    <w:p>
      <w:pPr>
        <w:pStyle w:val="TextBody"/>
        <w:bidi w:val="0"/>
        <w:spacing w:before="120" w:after="0"/>
        <w:jc w:val="left"/>
        <w:rPr>
          <w:rFonts w:ascii="Times New Roman" w:hAnsi="Times New Roman"/>
          <w:sz w:val="20"/>
        </w:rPr>
      </w:pPr>
      <w:r>
        <w:rPr>
          <w:rFonts w:ascii="Times New Roman" w:hAnsi="Times New Roman"/>
          <w:sz w:val="20"/>
        </w:rPr>
        <w:t xml:space="preserve">Because we own and operate U.S.-flag vessels in the U.S. coastwise trade,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restricts ownership of the shares of its outstanding common stock by non-U.S. citizens in the aggregate to not more than 21%, with certain limited grandfathered circumstances allowing up to 24% of the outstanding shares of our common stock to be owned by non-U.S. citizens on and after the effective date of the initial public offering. As of December 31, 2025, approximately 23.8% of the Company’s issued and outstanding common stock is owned by non-U.S. citizens and, after giving effect to this offering, the Company expects the percentage of its common stock owned by non-U.S. citizens to decrease to approximately    %. Our amended and restated certificate of incorporation further prohibits the acquisition of shares by a non-U.S. citizen where (i) such acquisition would cause the aggregate number of shares held by all non-U.S. citizens to exceed 21% of our issued and outstanding common stock and (ii) such acquisition would cause the aggregate number of shares held by any individual non-U.S. citizen to exceed 4.9% of our issued and outstanding common stock. Our amended and restated certificate of incorporation further provides the Board of Directors with authority to redeem any share of common stock that is owned by non-U.S. citizens that would result in ownership by non-U.S. citizens in the aggregate in excess of 21% of our issued and outstanding common stock,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Our amended and restated certificate of incorporation also provides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to the selection of an alternative forum, the Court of Chancery of the State of Delaware will, to the fullest extent permitted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If the Court of Chancery lacks subject matter jurisdiction, a federal district court of the United States of America located in the State of Delaware will be the exclusive forum for such actions. </w:t>
      </w:r>
    </w:p>
    <w:p>
      <w:pPr>
        <w:pStyle w:val="TextBody"/>
        <w:bidi w:val="0"/>
        <w:spacing w:before="240" w:after="0"/>
        <w:jc w:val="left"/>
        <w:rPr>
          <w:rFonts w:ascii="Times New Roman" w:hAnsi="Times New Roman"/>
          <w:sz w:val="20"/>
        </w:rPr>
      </w:pPr>
      <w:r>
        <w:rPr>
          <w:rFonts w:ascii="Times New Roman" w:hAnsi="Times New Roman"/>
          <w:sz w:val="20"/>
        </w:rPr>
        <w:t xml:space="preserve">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our stockholders would not be deemed to have waived our compliance with federal securities laws and the rules and regulations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For a description of registration rights relating to our common stock (or shares of our common stock issuable upon the exercise of our Jones Act Warrants or Creditor Warrants), see “Certain Relationships and Related Party Transactions—Registration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We have applied to have our common stock approved for listing on the NYSE under the symbol “HOS.”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rom66194_13"/>
      <w:bookmarkEnd w:id="17"/>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this offering and after giving effect to the stock split, we will have a total of     shares of our common stock outstanding. Additionally,      shares of our common stock will be issuable upon the exercise of Jones Act Warrants and      shares of our common stock will be issuable upon the exercise of Creditor Warrants (after giving effect to the Repurchases), with an exercise price of $0.00001 per share and $    per share, respectively,      shares of our common stock will be issuable upon exercise of outstanding options, at an average weighted exercise price of $   , or upon settlement of restricted stock units under the 2020 Management Incentive Plan and      shares of common stock underlying the IPO Grants (calculated using the midpoint of the estimated offering price range shown on the cover page of this prospectus). In addition, shares of our common stock will be authorized and reserved for issuance in relation to potential future awards under our 2020 Management Incentive Plan and our 2026 Omnibus Incentive Plan to be adopted in connection with this offering. Of the outstanding shares of common stock, the      shares sold in this offering (or      shares if the underwriters exercise in full their option to purchase additional shares) will be freely tradable, other than certain shares sold pursuant to our directed share program that are subject to “lock up” restrictions as described under “Underwriting (Conflicts of Interest),”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below.      of the remaining shares of common stock that we will have outstanding upon completion of this offering that were not sold in this offering, as well as the Jones Act Warrants and the Creditor Warrants, were issued under Section 1145 of the U.S. Bankruptcy Code in connection with our emergence from Chapter 11 bankruptcy protection. Such shares of common stock (along with the shares of common stock issuable upon exercise of the Jones Act Warrants and the Creditor Warrants) were deemed (or will be deemed, in the case of shares underlying warrants) to have been issued in a public offering and may be resold as freely tradeable securities under the Securities Act, except for such shares held by our affiliates, or holders deemed to be “underwriters” as that term is defined in Section 1145(b) of the U.S. Bankruptcy Code, and except as subject to the limitations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common stock (after giving effect to the stock split) held by our principal stockholders and certain of our directors and executive officers after this offering, representing  % of the total outstanding shares of our common stock following this offering, will be “restricted securities” and/or “control securities” within the meanings of Rule 144 and 701 under the Securities Act, which are subject to certain restrictions on resale. Restricted securities may be sold in the public market only if they are registered under the Securities Act or are sold pursuant to an exemption from registration such as Rule 144 and Rule 701,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and warrants or settlement of restricted stock units,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 </w:t>
      </w:r>
    </w:p>
    <w:p>
      <w:pPr>
        <w:pStyle w:val="TextBody"/>
        <w:bidi w:val="0"/>
        <w:spacing w:before="240" w:after="0"/>
        <w:jc w:val="left"/>
        <w:rPr>
          <w:rFonts w:ascii="Times New Roman" w:hAnsi="Times New Roman"/>
          <w:sz w:val="20"/>
        </w:rPr>
      </w:pPr>
      <w:r>
        <w:rPr>
          <w:rFonts w:ascii="Times New Roman" w:hAnsi="Times New Roman"/>
          <w:sz w:val="20"/>
        </w:rPr>
        <w:t xml:space="preserve">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shares of our common stock then outstanding, which will equal approximately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reported weekly trading volume of our common stock on the NYSE during the four calendar weeks preceding the filing of a notice on Form 144 with respect to such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In general, under Rule 701 as currently in effect, any of our employees, directors, officers, consultants or advisors who received shares from us in connection with a compensatory stock or option plan or other written agreement, including our 2020 Management Incentive Plan and our 2026 Omnibus Incentive Plan to be adopted in connection with this offering,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our directors and executive officers and certain holders of our outstanding common stock, Jones Act Warrants or Creditor Warrants, including our principal stockholders, prior to this offering, including the selling stockholders, will sign lock-up agreements with the underwriters that will, subject to certain exceptions, restrict the disposition of, or hedging with respect to, the shares of our common stock or securities convertible into or exercisable or exchangeable for shares of our common stock, each held by them (including any shares purchased by them pursuant to the directed share program), during the period ending 180 days after the date of this prospectus, except with the prior written consent of J.P. Morgan Securities LLC and Barclays Capital Inc. See “Underwriting (Conflicts of Interest)” for a description of these lock-up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For a description of registration rights relating to our common stock (or shares of our common stock issuable upon the exercise of our Jones Act Warrants or Creditor Warrants), see “Certain Relationships and Related Party Transactions—Registration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Registration Statement on Form S-8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one or more registration statements on Form S-8 under the Securities Act to register all of the shares of common stock subject to outstanding stock options and the shares of common stock subject to issuance under our 2020 Management Incentive Plan and our 2026 Omnibus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options, restricted stock, restricted stock units and performance stock units issued under our 2020 Management Incentive Plan and our 2026 Omnibus Incentive Plan will cover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66194_14"/>
      <w:bookmarkEnd w:id="18"/>
      <w:r>
        <w:rPr>
          <w:rFonts w:ascii="Times New Roman" w:hAnsi="Times New Roman"/>
          <w:b/>
          <w:sz w:val="20"/>
        </w:rPr>
        <w:t xml:space="preserve">MATERIAL U.S. FEDERAL INCOME TAX </w:t>
      </w:r>
    </w:p>
    <w:p>
      <w:pPr>
        <w:pStyle w:val="TextBody"/>
        <w:bidi w:val="0"/>
        <w:spacing w:before="0" w:after="0"/>
        <w:jc w:val="center"/>
        <w:rPr>
          <w:rFonts w:ascii="Times New Roman" w:hAnsi="Times New Roman"/>
          <w:b/>
          <w:sz w:val="20"/>
        </w:rPr>
      </w:pPr>
      <w:r>
        <w:rPr>
          <w:rFonts w:ascii="Times New Roman" w:hAnsi="Times New Roman"/>
          <w:b/>
          <w:sz w:val="20"/>
        </w:rPr>
        <w:t xml:space="preserve">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U.S. federal income tax considerations related to the purchase, ownership and disposition of our common stock by a non-U.S. holder (as defined below) that acquired such common stock pursuant to this offering and holds our common stock as a “capital asset” within the meaning of Section 1221 of the Code (generally property held for investment). This summary is based on the provisions of the Code, U.S. Department of Treasury regulations promulgated thereunder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 </w:t>
      </w:r>
    </w:p>
    <w:p>
      <w:pPr>
        <w:pStyle w:val="TextBody"/>
        <w:bidi w:val="0"/>
        <w:spacing w:before="240" w:after="0"/>
        <w:jc w:val="left"/>
        <w:rPr>
          <w:rFonts w:ascii="Times New Roman" w:hAnsi="Times New Roman"/>
          <w:sz w:val="20"/>
        </w:rPr>
      </w:pPr>
      <w:r>
        <w:rPr>
          <w:rFonts w:ascii="Times New Roman" w:hAnsi="Times New Roman"/>
          <w:sz w:val="20"/>
        </w:rPr>
        <w:t xml:space="preserve">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(or any entities all of the interests of which are held by a qualified foreign pension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in securities or foreign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use the mark-to-market method of accounting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5"/>
        <w:gridCol w:w="101"/>
        <w:gridCol w:w="9391"/>
      </w:tblGrid>
      <w:tr>
        <w:trPr/>
        <w:tc>
          <w:tcPr>
            <w:tcW w:w="4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2"/>
        <w:gridCol w:w="9391"/>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other arrangements treated as a partnership or pass-through entity for U.S. federal income tax purposes or holders of interests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acquired our common stock through the exercise of employee stock options or otherwise as compensation or through a tax-qualified retirement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former citizens or long-term residents of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our common stock as part of a straddle, appreciated financial position, synthetic security, hedge, conversion transaction or other integrated investment or risk reduction transaction.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COMMON STOCK ARISING UNDER ANY OTHER TAX LAWS, INCLUDING THE U.S. FEDERAL ESTATE OR GIFT TAX LAWS OR UNDER THE LAWS OF ANY U.S. STATE OR LOCAL, NON-U.S. OR OTHER TAXING JURISDICTION OR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Non-U.S. Holder Defined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 beneficial owner of our common stock that is not for U.S. federal income tax purposes a partnership (or a partner therein) or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0"/>
        <w:gridCol w:w="9392"/>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304"/>
        <w:gridCol w:w="102"/>
        <w:gridCol w:w="9391"/>
      </w:tblGrid>
      <w:tr>
        <w:trPr/>
        <w:tc>
          <w:tcPr>
            <w:tcW w:w="40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while we do not currently anticipate paying dividends, depending on factors deemed relevant by our Board of Directors, following completion of this offering, our Board of Directors may elect to declare dividends on our common stock. If we do make distributions of cash or other property (other than certain stock distributions) on our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common stock (and will reduce such tax basis, until such basis equals zero) and thereafter as capital gain from the sale or exchange of such common stock. See “—Gain on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withholding requirements under FATCA (as defined below) and with respect to effectively connected dividends, each of which is discussed below, any distribution made to a non-U.S. holder on our common stock generally will be subject to U.S. federal withholding tax at a rate of 30% of the gross amount of the distribution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federal withholding tax (including backup withholding discussed below) if the non-U.S. holder satisfies certain certification requirements by providing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Gain on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“—Additional Withholding Requirements under FATCA,” a non-U.S. holder generally will not be subject to U.S. federal income or withholding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102"/>
        <w:gridCol w:w="9392"/>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a period or periods aggregating 183 days or more during the calendar year in which the sale or disposition occurs and certain other conditions are met;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a trade or business conducted by the non-U.S. holder in the United States (and, if required by an applicable income tax treaty, is attributable to a permanent establishment maintained by the non-U.S. holder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and do not expect to become, a USRPHC for U.S. federal income tax purposes. However, if we are classified as a USRPHC or become a USRPHC in the future, as long as our common stock is and continues to be “regularly traded on an established securities market” (within the meaning of the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 USRPHC. If we are classified as a USRPHC or become a USRPHC in the future, and our common stock were not considered to be regularly traded on an established securities market, such non-U.S. holder (regardless of the percentage of stock owned) would be treated as disposing of a U.S. real property interest and would be subject to U.S. federal income tax on a taxable disposition of our common stock (as described in the preceding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a 15% withholding tax would apply to the gross proceeds from such disposition (and to any distributions treated as a non-taxable return of capital or capital gain from the sale or exchange of such common stock as described above under “—Distributions”). </w:t>
      </w:r>
    </w:p>
    <w:p>
      <w:pPr>
        <w:pStyle w:val="TextBody"/>
        <w:bidi w:val="0"/>
        <w:spacing w:before="240" w:after="0"/>
        <w:jc w:val="left"/>
        <w:rPr>
          <w:rFonts w:ascii="Times New Roman" w:hAnsi="Times New Roman"/>
          <w:b/>
          <w:sz w:val="20"/>
        </w:rPr>
      </w:pPr>
      <w:r>
        <w:rPr>
          <w:rFonts w:ascii="Times New Roman" w:hAnsi="Times New Roman"/>
          <w:b/>
          <w:sz w:val="20"/>
        </w:rPr>
        <w:t xml:space="preserve">NON-U.S. HOLDERS SHOULD CONSULT THEIR TAX ADVISORS WITH RESPECT TO THE APPLICATION OF THE FOREGOING RULES TO THEIR PURCHASE, OWNERSHIP AND DISPOSITION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Payments of the proceeds from a sale or other disposition by a non-U.S. holder of our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Requirements under FATCA </w:t>
      </w:r>
    </w:p>
    <w:p>
      <w:pPr>
        <w:pStyle w:val="TextBody"/>
        <w:bidi w:val="0"/>
        <w:spacing w:before="120" w:after="0"/>
        <w:jc w:val="left"/>
        <w:rPr>
          <w:rFonts w:ascii="Times New Roman" w:hAnsi="Times New Roman"/>
          <w:sz w:val="20"/>
        </w:rPr>
      </w:pPr>
      <w:r>
        <w:rPr>
          <w:rFonts w:ascii="Times New Roman" w:hAnsi="Times New Roman"/>
          <w:sz w:val="20"/>
        </w:rPr>
        <w:t xml:space="preserve">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FATCA withholding could apply to gross proceeds on the disposition of our common stock, the U.S. Treasury released proposed Treasury Regulations (the “Proposed Regulations”) the preamble to which specifies that taxpayers may rely on them pending finalization. The Proposed Regulations eliminate FATCA withholding on the gross proceeds from a sale or other disposition of our common stock. There can be no assurance that the Proposed Regulations will be finalized in their present form.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CONSIDERING THE PURCHASE OF OUR COMMON STOCK ARE URGED TO CONSULT THEIR OWN TAX ADVISORS REGARDING THE APPLICATION OF THE U.S. FEDERAL INCOME TAX LAWS (INCLUDING ANY POTENTIAL CHANGES THERETO) TO THEIR PARTICULAR SITUATIONS AND THE APPLICABILITY AND EFFECT OF ANY OTHER TAX LAWS, INCLUDING U.S. FEDERAL ESTATE AND GIFT TAX LAWS AND ANY U.S. STATE OR LOCAL OR NON-U.S. TAX LAWS AND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66194_15"/>
      <w:bookmarkEnd w:id="19"/>
      <w:r>
        <w:rPr>
          <w:rFonts w:ascii="Times New Roman" w:hAnsi="Times New Roman"/>
          <w:b/>
          <w:sz w:val="20"/>
        </w:rPr>
        <w:t xml:space="preserve">UNDERWRITING (CONFLICTS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are offering the shares of common stock described in this prospectus through a number of underwriters. J.P. Morgan Securities LLC and Barclays Capital Inc. are acting as joint book-running managers of the offering and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63"/>
        <w:gridCol w:w="279"/>
        <w:gridCol w:w="65"/>
        <w:gridCol w:w="1069"/>
        <w:gridCol w:w="63"/>
      </w:tblGrid>
      <w:tr>
        <w:trPr/>
        <w:tc>
          <w:tcPr>
            <w:tcW w:w="5463"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79"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DNB Carnegie, Inc.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Piper Sandler &amp; Co.</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Raymond James &amp; Associates, Inc.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BTIG, LLC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Johnson Rice &amp; Company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PEP Advisory LLC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Seaport Global Securities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Drexel Hamilton, LLC</w:t>
            </w:r>
          </w:p>
        </w:tc>
        <w:tc>
          <w:tcPr>
            <w:tcW w:w="27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6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6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6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63"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shares of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shares of common stock are not sold at the initial public offering price, the underwriters may change the offering price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options to buy up to      additional shares of common stock from the selling stockholders to cover sales of shares by the underwriters which exceed the number of shares specified in the table above. The underwriters have 30 days from the date of this prospectus to exercise these options to purchase additional shares. If any shares are purchased with these options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us and the selling stockholders per share of common stock. The underwriting fee is $     per share. The following table shows the per share and total underwriting discounts and commissions to be paid to the underwriters assuming both no exercise and full exercise of the underwriters’ option to purchase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0"/>
        <w:gridCol w:w="532"/>
        <w:gridCol w:w="208"/>
        <w:gridCol w:w="1620"/>
        <w:gridCol w:w="60"/>
        <w:gridCol w:w="532"/>
        <w:gridCol w:w="208"/>
        <w:gridCol w:w="1620"/>
        <w:gridCol w:w="65"/>
      </w:tblGrid>
      <w:tr>
        <w:trPr/>
        <w:tc>
          <w:tcPr>
            <w:tcW w:w="2910"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91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pPr>
            <w:r>
              <w:rPr>
                <w:b/>
              </w:rPr>
              <w:t>Without</w:t>
            </w:r>
            <w:r>
              <w:rPr/>
              <w:br/>
            </w:r>
            <w:r>
              <w:rPr>
                <w:b/>
              </w:rPr>
              <w:t>option to</w:t>
              <w:br/>
              <w:t>purchase</w:t>
              <w:br/>
              <w:t>additional shares</w:t>
              <w:br/>
              <w:t>exercise</w:t>
            </w:r>
          </w:p>
        </w:tc>
        <w:tc>
          <w:tcPr>
            <w:tcW w:w="6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1828" w:type="dxa"/>
            <w:gridSpan w:val="2"/>
            <w:tcBorders>
              <w:bottom w:val="single" w:sz="8" w:space="0" w:color="000000"/>
            </w:tcBorders>
            <w:tcMar>
              <w:bottom w:w="28" w:type="dxa"/>
            </w:tcMar>
            <w:vAlign w:val="bottom"/>
          </w:tcPr>
          <w:p>
            <w:pPr>
              <w:pStyle w:val="TableContents"/>
              <w:bidi w:val="0"/>
              <w:spacing w:before="0" w:after="283"/>
              <w:jc w:val="center"/>
              <w:rPr/>
            </w:pPr>
            <w:r>
              <w:rPr>
                <w:b/>
              </w:rPr>
              <w:t>With full</w:t>
            </w:r>
            <w:r>
              <w:rPr/>
              <w:br/>
            </w:r>
            <w:r>
              <w:rPr>
                <w:b/>
              </w:rPr>
              <w:t>option to</w:t>
              <w:br/>
              <w:t>purchase</w:t>
              <w:br/>
              <w:t>additional shares</w:t>
              <w:br/>
              <w:t>exercise</w:t>
            </w:r>
          </w:p>
        </w:tc>
        <w:tc>
          <w:tcPr>
            <w:tcW w:w="65" w:type="dxa"/>
            <w:tcBorders/>
            <w:vAlign w:val="bottom"/>
          </w:tcPr>
          <w:p>
            <w:pPr>
              <w:pStyle w:val="TableContents"/>
              <w:bidi w:val="0"/>
              <w:spacing w:before="0" w:after="283"/>
              <w:jc w:val="left"/>
              <w:rPr/>
            </w:pPr>
            <w:r>
              <w:rPr/>
              <w:t> </w:t>
            </w:r>
          </w:p>
        </w:tc>
      </w:tr>
      <w:tr>
        <w:trPr/>
        <w:tc>
          <w:tcPr>
            <w:tcW w:w="2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53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3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162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91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3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162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estimate that the total expenses of this offering, including registration, filing and listing fees, printing fees and legal and accounting expenses, but excluding the underwriting discounts and commissions, will be approximately $    . We have also agreed to reimburse the underwriters for certain of their expenses in connection with this offering in an amount up to $    .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 the foregoing, or (ii) enter into any swap or other arrangement that transfers, in whole or in part, any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Barclays Capital Inc. for a period of one hundred eighty (180) days after the date of this prospectus, other than the shares of our common stock to be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on our actions, as described above, do not apply to certain transactions, including (i) the offer, issuance, sale and disposition of the shares of our common stock under the underwriting agreement, (ii) the issuance of shares of common stock or securities convertible into or exercisable for shares of our common stock pursuant to the conversion or exchange of convertible or exchangeable securities, warrants or options (including net exercise) or the settlement of restricted stock units or performance stock units (including net settlement), in each case outstanding on the date of the underwriting agreement and described in this prospectus; (iii) grants of stock options, stock awards, restricted stock, restricted stock units, performance stock units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 as of the closing of this offering and described in this prospectus, provided that any such recipient who is an executive officer or director of ours enters into a lock-up agreement with the underwriters; (iv) the issuance of up to 10% of the outstanding shares of our common stock, or securities convertible into, exercisable for, or which are otherwise exchangeable for, our common stock, immediately following the closing of this offering, in acquisitions or other similar strategic transactions, provided that such recipients enter into a lock-up agreement with the underwriters; (v) the facilitation of the establishment of a trading plan pursuant to Rule 10b5-1 under the Exchange Act, provided that such plan does not provide for the transfer of Common Stock during the one hundred eighty (180)-day restricted period; (vi)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or (vii) submission to the SEC of a draft registration statement under the Securities Act on a confidential basis pursuant to the rules of the SEC, provided that with respect to this clause (viii), (a) no public filing with the SEC or any other public announcement may be made during the one hundred eighty (180)-day restricted period in relation to such registration, (b) J.P. Morgan Securities LLC and Barclays Capital Inc. must have received prior written consent from the Company of such submission with the SEC during the one hundred eighty (180)-day restricted period at least seven (7) business days prior to such submission, and (c) no securities of the Company may be sold, distributed or exchanged prior to the expiration of the one hundred eighty (180)-day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Our directors and executive officers, the selling stockholders and substantially all of our stockholders holding in the aggregate approximately 95% of the outstanding shares of our common stock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Barclays Capital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charitable contributions or for bona fide estate planning purposes, (ii) by will or intestacy, (iii) to any trust for the direct or indirect benefit of the lock-up party or any immediate family member or, if the lock-up party is a trust, to a trustor or beneficiary of the trust or to the estate of a beneficiary of such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vehicle, account, portion of a fund, vehicle or account or other entity controlling, controlled by, managing or managed by or under common control with the lock-up party or its affiliates (including, for the avoidance of doubt, where the lock-up party is a partnership, to its general partner or a successor partnership or fund, vehicle, accounts or portions of funds, vehicles or accounts or any other funds, managed by such partnership) or (B) as part of a distribution to partners, members. stockholders or other equityholders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performance stock units,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outstanding options, settlement of restricted stock units or other equity awards granted pursuant to plans described in this prospectus or the exercise of warrants,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establishment by lock-up parties of trading plans under Rule 10b5-1 under the Exchange Act, provided that such plan does not provide for the transfer of lock-up securities during the restricted period (other than for the payment of exercise price and tax remittance payments due as a result of the vesting, settlement, or exercise of restricted stock units, performance stock units, options, warrants or rights); and (e) the sale of our common stock pursuant to the terms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and Barclays Capital Inc., in their sole discretion, may release the securities subject to any of the lock-up agreements with the underwriters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applied to have our common stock approved for listing on the NYSE under the symbol “HOS”.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prior class of common stock was delisted in July 2020, and 4,366,348 shares of our new common stock were issued on September 4, 2020. As a result, since July 2020,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2"/>
        <w:gridCol w:w="9390"/>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markets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recent market prices of, and demand for, publicly traded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101"/>
        <w:gridCol w:w="9392"/>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deemed relevant by the underwriters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can assure investors that an active trading market will develop for our shares of common stock, or that the shares will trade in the public market at or above the initial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consulting, investment banking and other services for us and such affiliates in the ordinary course of their business, for which they have received and may continue to receive customary fees and commissions. In addition, certain of the underwriters and their affiliates are, or may become, lenders under the First Lien Revolving Credit Facility, for which such underwriters and their affiliates have received customary fees.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Conflict of Interest </w:t>
      </w:r>
    </w:p>
    <w:p>
      <w:pPr>
        <w:pStyle w:val="TextBody"/>
        <w:bidi w:val="0"/>
        <w:spacing w:before="120" w:after="0"/>
        <w:jc w:val="left"/>
        <w:rPr>
          <w:rFonts w:ascii="Times New Roman" w:hAnsi="Times New Roman"/>
          <w:sz w:val="20"/>
        </w:rPr>
      </w:pPr>
      <w:r>
        <w:rPr>
          <w:rFonts w:ascii="Times New Roman" w:hAnsi="Times New Roman"/>
          <w:sz w:val="20"/>
        </w:rPr>
        <w:t xml:space="preserve">Highbridge is an indirect subsidiary of J.P. Morgan Chase &amp; Co. and, prior to this offering, beneficially owns more than 10% of our common stock on a fully diluted basis (including both shares of common stock and shares issuable upon the exercise of Jones Act Warrants and Creditor Warrants). Highbridge is a selling stockholder in this offering and, as such, may receive more than 5%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Because of this relationship, J.P. Morgan Securities LLC is deemed to have a “conflict of interest” under FINRA Rule 5121. Accordingly, this offering is being conducted in accordance with the applicable provisions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FINRA Rule 5121, including the requirement that a “qualified independent underwriter” participate in the preparation of the prospectus and exercise the usual standards of due diligence in connection with such participation. Barclays Capital Inc. has agreed to serve as the qualified independent underwriter for this offering and will not receive any additional fees for serving in that capacity. We have agreed to indemnify Barclays Capital Inc. against any liabilities arising in connection with its role as a qualified independent underwriter, including liabilities under the Securities Act. Additionally, in accordance with FINRA Rule 5121(c), no sales of the shares in this offering will be made to any discretionary account over which J.P. Morgan Securities LLC exercises discretion without the prior specific written approval of the account holder. </w:t>
      </w:r>
    </w:p>
    <w:p>
      <w:pPr>
        <w:pStyle w:val="TextBody"/>
        <w:bidi w:val="0"/>
        <w:spacing w:before="360" w:after="0"/>
        <w:jc w:val="left"/>
        <w:rPr>
          <w:rFonts w:ascii="Times New Roman" w:hAnsi="Times New Roman"/>
          <w:b/>
          <w:sz w:val="20"/>
        </w:rPr>
      </w:pPr>
      <w:r>
        <w:rPr>
          <w:rFonts w:ascii="Times New Roman" w:hAnsi="Times New Roman"/>
          <w:b/>
          <w:sz w:val="20"/>
        </w:rPr>
        <w:t xml:space="preserve">Directed Share Program </w:t>
      </w:r>
    </w:p>
    <w:p>
      <w:pPr>
        <w:pStyle w:val="TextBody"/>
        <w:bidi w:val="0"/>
        <w:spacing w:before="120" w:after="0"/>
        <w:jc w:val="left"/>
        <w:rPr>
          <w:rFonts w:ascii="Times New Roman" w:hAnsi="Times New Roman"/>
          <w:sz w:val="20"/>
        </w:rPr>
      </w:pPr>
      <w:r>
        <w:rPr>
          <w:rFonts w:ascii="Times New Roman" w:hAnsi="Times New Roman"/>
          <w:sz w:val="20"/>
        </w:rPr>
        <w:t xml:space="preserve">At our request, the underwriters have reserved up to 5% of the shares offered by this prospectus for sale, at the initial public offering price, to certain individuals through a directed share program, including our directors, officers, employees and certain other individuals identified by us. The sales will be made at our direction by J.P. Morgan Securities LLC and its affiliates. The number of shares of our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common stock offered by this prospectus. We have agreed to indemnify the underwriters against certain liabilities and expenses, including liabilities under the Securities Act, in connection with the sales of the shares reserved for the directed share program. </w:t>
      </w:r>
    </w:p>
    <w:p>
      <w:pPr>
        <w:pStyle w:val="TextBody"/>
        <w:bidi w:val="0"/>
        <w:spacing w:before="240" w:after="0"/>
        <w:jc w:val="left"/>
        <w:rPr>
          <w:rFonts w:ascii="Times New Roman" w:hAnsi="Times New Roman"/>
          <w:sz w:val="20"/>
        </w:rPr>
      </w:pPr>
      <w:r>
        <w:rPr>
          <w:rFonts w:ascii="Times New Roman" w:hAnsi="Times New Roman"/>
          <w:sz w:val="20"/>
        </w:rPr>
        <w:t xml:space="preserve">Shares purchased through the directed share program will not be subject to a lock-up restriction, except in the case of shares purchased by any of our directors and officers, which shares will be subject to a 180-day lock-up restriction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Jones Act </w:t>
      </w:r>
    </w:p>
    <w:p>
      <w:pPr>
        <w:pStyle w:val="TextBody"/>
        <w:bidi w:val="0"/>
        <w:spacing w:before="120" w:after="0"/>
        <w:jc w:val="left"/>
        <w:rPr>
          <w:rFonts w:ascii="Times New Roman" w:hAnsi="Times New Roman"/>
          <w:sz w:val="20"/>
        </w:rPr>
      </w:pPr>
      <w:r>
        <w:rPr>
          <w:rFonts w:ascii="Times New Roman" w:hAnsi="Times New Roman"/>
          <w:sz w:val="20"/>
        </w:rPr>
        <w:t xml:space="preserve">Because we own and operate U.S.-flagged vessels in the U.S. coastwise trade, the Jones Act requires that at least 75% of the outstanding shares of each class or series of the capital stock of the Company must be owned and controlled by U.S. citizens.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 As a result, we have restricted participation in this offering to U.S. citizens as defined under the Jones Act. As of December 31, 2025, approximately 23.8% of the Company’s issued and outstanding common stock is owned by non-U.S. citizens and, after giving effect to this offering, the Company expects the percentage of its common stock owned by non-U.S. citizens to decrease to approximately    %. </w:t>
      </w:r>
    </w:p>
    <w:p>
      <w:pPr>
        <w:pStyle w:val="TextBody"/>
        <w:bidi w:val="0"/>
        <w:spacing w:before="240" w:after="0"/>
        <w:jc w:val="left"/>
        <w:rPr>
          <w:rFonts w:ascii="Times New Roman" w:hAnsi="Times New Roman"/>
          <w:sz w:val="20"/>
        </w:rPr>
      </w:pPr>
      <w:r>
        <w:rPr>
          <w:rFonts w:ascii="Times New Roman" w:hAnsi="Times New Roman"/>
          <w:sz w:val="20"/>
        </w:rPr>
        <w:t xml:space="preserve">In order to ensure compliance with the U.S. citizenship and cabotage laws principally contained in the Jones Act, sales in the offering will be limited so that shares will only be allocated to U.S. citizens (as determined in accordance with the Jones Act). A “U.S. citizen” for purposes of the Jones Act includes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investor is an individual, the investor is deemed a citizen of the United States (for Jones Act purposes) if the investor is native-born, naturalized, or a derivative citizen of the United States, or otherwise qualifies as a United States citizen.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investor is a partnership, limited liability company or limited partnership, the entity is deemed a citizen of the United States (for Jones Act purposes) if the investor: (a) is organized under the laws of the United States or a State, (b) each general partner or manager is a citizen of the United States and (c) is not less than 75.0% of the interest and voting power of the partnership, limited liability company or limited partnership is ultimately held by citizens of the United States free of any voting trust, fiduciary arrangement or other agreement, arrangement or understanding whereby non-citizens may directly or indirectly assert control.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305"/>
        <w:gridCol w:w="101"/>
        <w:gridCol w:w="9392"/>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investor is a corporation, the investor is deemed a citizen of the United States (for Jones Act purposes) if: (a) the investor is organized under the laws of the United States or a State, (b) each of its president or other chief executive and the chairman of its board of directors is a citizen of the United States, (c) the investor is no more than a minority of the number of its directors necessary to constitute a quorum for the transaction of business are non-citizens of the United States and (d) not less than 75.0% of the shares (beneficially and of record) are owned by citizens of the United States, and free of any voting trust, fiduciary arrangement or other agreement, arrangement or understanding whereby non-citizens may directly or indirectly assert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6"/>
        <w:gridCol w:w="101"/>
        <w:gridCol w:w="9391"/>
      </w:tblGrid>
      <w:tr>
        <w:trPr/>
        <w:tc>
          <w:tcPr>
            <w:tcW w:w="40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investor is an entity (and not an individual), the requirement that at least 75.0% of the interests and voting power be owned and controlled by U.S. citizens extends up through the various tiers to all levels of direct and indirect ownership in the entity. Accordingly, each entity in the chain of ownership, at each tier of ownership, of the underlying entity must meet the definition of citizen of the United States (for Jones Act purposes) applicable to such entity.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further provides the Board of Directors with authority to take certain actions to protect our Jones Act status. These actions may include: (i) refusing to recognize any transfer (including our original issuance) that would result in ownership by non-U.S. citizens in the aggregate exceeding 21% of our issued and outstanding common stock, with certain limited grandfathered circumstances allowing up to 24% of the outstanding shares of our common stock to be owned by non-U.S. citizens on and after the effective date of the initial public offering, (ii) treating any such purported transfer as void </w:t>
      </w:r>
      <w:r>
        <w:rPr>
          <w:rFonts w:ascii="Times New Roman" w:hAnsi="Times New Roman"/>
          <w:i/>
          <w:sz w:val="20"/>
        </w:rPr>
        <w:t>ab initio</w:t>
      </w:r>
      <w:r>
        <w:rPr>
          <w:rFonts w:ascii="Times New Roman" w:hAnsi="Times New Roman"/>
          <w:sz w:val="20"/>
        </w:rPr>
        <w:t xml:space="preserve"> or (iii) redeeming any share of our common stock that caused the ownership by non-U.S. citizens to exceed such 21% ownership limitation,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For a description of the Jones Act citizenship restrictions and redemption procedures, see “Description of Capital Stock and Warrants—Limitations on Ownership by Non-U.S. Citizens.”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66194_16"/>
      <w:bookmarkEnd w:id="2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for us by Kirkland &amp; Ellis LLP, Houston, Texas. Certain legal matters relating to this offering will be passed upon for the underwriters by Vinson &amp; Elkins LLP, Houston, Texas. </w:t>
      </w:r>
    </w:p>
    <w:p>
      <w:pPr>
        <w:pStyle w:val="TextBody"/>
        <w:bidi w:val="0"/>
        <w:spacing w:before="480" w:after="0"/>
        <w:jc w:val="center"/>
        <w:rPr>
          <w:rFonts w:ascii="Times New Roman" w:hAnsi="Times New Roman"/>
          <w:b/>
          <w:sz w:val="20"/>
        </w:rPr>
      </w:pPr>
      <w:bookmarkStart w:id="21" w:name="rom66194_17"/>
      <w:bookmarkEnd w:id="2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Hornbeck Offshore Services, Inc. at December 31, 2024 and 2023,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unaudited consolidated interim financial information of Hornbeck Offshore Services, Inc. as of September 30, 2025 and for the three-month and nine-month periods ended September 30, 2025 and September 30, 2024, appearing in this prospectus and registration statement, Ernst &amp; Young LLP reported that they have applied limited procedures in accordance with professional standards for a review of such information. However, their separate report dated November 7, 2025, appearing elsewhere herein states that they did not audit and they do not express an opinion on that interim financial information. Accordingly, the degree of reliance on their report on such information should be restricted in light of the limited nature of the review procedures applied. Ernst &amp; Young LLP is not subject to the liability provisions of Section 11 of the Securities Act for their report on the unaudited interim financial information because that report is not a “report” or a “part” of the registration statement prepared or certified by Ernst &amp; Young LLP within the meaning of Sections 7 and 11 of the Securities Act. </w:t>
      </w:r>
    </w:p>
    <w:p>
      <w:pPr>
        <w:pStyle w:val="TextBody"/>
        <w:bidi w:val="0"/>
        <w:spacing w:before="480" w:after="0"/>
        <w:jc w:val="center"/>
        <w:rPr>
          <w:rFonts w:ascii="Times New Roman" w:hAnsi="Times New Roman"/>
          <w:b/>
          <w:sz w:val="20"/>
        </w:rPr>
      </w:pPr>
      <w:bookmarkStart w:id="22" w:name="rom66194_18"/>
      <w:bookmarkEnd w:id="2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 </w:t>
      </w:r>
    </w:p>
    <w:p>
      <w:pPr>
        <w:pStyle w:val="TextBody"/>
        <w:bidi w:val="0"/>
        <w:spacing w:before="240" w:after="0"/>
        <w:jc w:val="left"/>
        <w:rPr>
          <w:rFonts w:ascii="Times New Roman" w:hAnsi="Times New Roman"/>
          <w:sz w:val="20"/>
        </w:rPr>
      </w:pPr>
      <w:r>
        <w:rPr>
          <w:rFonts w:ascii="Times New Roman" w:hAnsi="Times New Roman"/>
          <w:sz w:val="20"/>
        </w:rPr>
        <w:t xml:space="preserve">Upon the effectiveness of the registration statement,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www.hornbeckoffshore.com. This reference to our website is an inactive textual reference only and is not a hyperlink. The contents of, or other information accessible through, our website are not part of this prospectus or the registration statement of which this prospectus forms a part, and you should not consider the contents of our website in making an investment decision with respect to our common stock. We will furnish our stockholders with annual reports containing audited financial statements and quarterly reports containing unaudited interim financial statements for each of the first three quarters of each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66194_19"/>
      <w:bookmarkEnd w:id="23"/>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0"/>
        <w:gridCol w:w="146"/>
        <w:gridCol w:w="60"/>
        <w:gridCol w:w="487"/>
        <w:gridCol w:w="62"/>
      </w:tblGrid>
      <w:tr>
        <w:trPr/>
        <w:tc>
          <w:tcPr>
            <w:tcW w:w="945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Unaudited Interim 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66194_1">
              <w:r>
                <w:rPr>
                  <w:rStyle w:val="InternetLink"/>
                  <w:rFonts w:ascii="Times New Roman" w:hAnsi="Times New Roman"/>
                  <w:sz w:val="20"/>
                </w:rPr>
                <w:t>Review Report of Independent Registered Public Accounting Firm, November 7,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2">
              <w:r>
                <w:rPr>
                  <w:rStyle w:val="InternetLink"/>
                  <w:rFonts w:ascii="Times New Roman" w:hAnsi="Times New Roman"/>
                  <w:sz w:val="20"/>
                </w:rPr>
                <w:t>Consolidated Balance Sheets as of September 30, 2025 and December  31,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3">
              <w:r>
                <w:rPr>
                  <w:rStyle w:val="InternetLink"/>
                  <w:rFonts w:ascii="Times New Roman" w:hAnsi="Times New Roman"/>
                  <w:sz w:val="20"/>
                </w:rPr>
                <w:t>Consolidated Statements of Operations for the Three and Nine Months Ended September 30,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4">
              <w:r>
                <w:rPr>
                  <w:rStyle w:val="InternetLink"/>
                  <w:rFonts w:ascii="Times New Roman" w:hAnsi="Times New Roman"/>
                  <w:sz w:val="20"/>
                </w:rPr>
                <w:t>Consolidated Statements of Comprehensive Income for the Three and Nine Months Ended September 30,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5">
              <w:r>
                <w:rPr>
                  <w:rStyle w:val="InternetLink"/>
                  <w:rFonts w:ascii="Times New Roman" w:hAnsi="Times New Roman"/>
                  <w:sz w:val="20"/>
                </w:rPr>
                <w:t>Consolidated Statements of Changes in Stockholders’ Equity for the Three and Nine Months Ended September 30,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6">
              <w:r>
                <w:rPr>
                  <w:rStyle w:val="InternetLink"/>
                  <w:rFonts w:ascii="Times New Roman" w:hAnsi="Times New Roman"/>
                  <w:sz w:val="20"/>
                </w:rPr>
                <w:t>Consolidated Statements of Cash Flows for the Nine Months Ended September 30, 2025 and 2024</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7">
              <w:r>
                <w:rPr>
                  <w:rStyle w:val="InternetLink"/>
                  <w:rFonts w:ascii="Times New Roman" w:hAnsi="Times New Roman"/>
                  <w:sz w:val="20"/>
                </w:rPr>
                <w:t>Notes to the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rHeight w:val="240" w:hRule="atLeast"/>
        </w:trPr>
        <w:tc>
          <w:tcPr>
            <w:tcW w:w="9450"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r>
      <w:tr>
        <w:trPr/>
        <w:tc>
          <w:tcPr>
            <w:tcW w:w="945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47" w:type="dxa"/>
            <w:gridSpan w:val="2"/>
            <w:tcBorders/>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0" w:type="dxa"/>
            <w:tcBorders/>
          </w:tcPr>
          <w:p>
            <w:pPr>
              <w:pStyle w:val="TableContents"/>
              <w:bidi w:val="0"/>
              <w:spacing w:before="0" w:after="0"/>
              <w:jc w:val="left"/>
              <w:rPr/>
            </w:pPr>
            <w:hyperlink w:anchor="fin66194_8">
              <w:r>
                <w:rPr>
                  <w:rStyle w:val="InternetLink"/>
                  <w:rFonts w:ascii="Times New Roman" w:hAnsi="Times New Roman"/>
                  <w:sz w:val="20"/>
                </w:rPr>
                <w:t>Report of Independent Registered Public Accounting Firm, dated March 21, 2025</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F-22</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9">
              <w:r>
                <w:rPr>
                  <w:rStyle w:val="InternetLink"/>
                  <w:rFonts w:ascii="Times New Roman" w:hAnsi="Times New Roman"/>
                  <w:sz w:val="20"/>
                </w:rPr>
                <w:t>Consolidated Balance Sheets as of December 31, 2024 and 2023</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F-24</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10">
              <w:r>
                <w:rPr>
                  <w:rStyle w:val="InternetLink"/>
                  <w:rFonts w:ascii="Times New Roman" w:hAnsi="Times New Roman"/>
                  <w:sz w:val="20"/>
                </w:rPr>
                <w:t>Consolidated Statements of Operations for the Years ended December  31, 2024,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F-25</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11">
              <w:r>
                <w:rPr>
                  <w:rStyle w:val="InternetLink"/>
                  <w:rFonts w:ascii="Times New Roman" w:hAnsi="Times New Roman"/>
                  <w:sz w:val="20"/>
                </w:rPr>
                <w:t>Consolidated Statements of Comprehensive Income for the Years ended December 31, 2024,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F-26</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12">
              <w:r>
                <w:rPr>
                  <w:rStyle w:val="InternetLink"/>
                  <w:rFonts w:ascii="Times New Roman" w:hAnsi="Times New Roman"/>
                  <w:sz w:val="20"/>
                </w:rPr>
                <w:t>Consolidated Statements of Changes in Stockholders’ Equity for the Years ended December 31, 2024,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F-27</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13">
              <w:r>
                <w:rPr>
                  <w:rStyle w:val="InternetLink"/>
                  <w:rFonts w:ascii="Times New Roman" w:hAnsi="Times New Roman"/>
                  <w:sz w:val="20"/>
                </w:rPr>
                <w:t>Consolidated Statements of Cash Flows for the Years ended December  31, 2024, 2023 and 2022</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F-28</w:t>
            </w:r>
          </w:p>
        </w:tc>
        <w:tc>
          <w:tcPr>
            <w:tcW w:w="62" w:type="dxa"/>
            <w:tcBorders/>
            <w:vAlign w:val="bottom"/>
          </w:tcPr>
          <w:p>
            <w:pPr>
              <w:pStyle w:val="TableContents"/>
              <w:bidi w:val="0"/>
              <w:spacing w:before="0" w:after="283"/>
              <w:jc w:val="left"/>
              <w:rPr/>
            </w:pPr>
            <w:r>
              <w:rPr/>
              <w:t> </w:t>
            </w:r>
          </w:p>
        </w:tc>
      </w:tr>
      <w:tr>
        <w:trPr/>
        <w:tc>
          <w:tcPr>
            <w:tcW w:w="9450" w:type="dxa"/>
            <w:tcBorders/>
          </w:tcPr>
          <w:p>
            <w:pPr>
              <w:pStyle w:val="TableContents"/>
              <w:bidi w:val="0"/>
              <w:spacing w:before="0" w:after="0"/>
              <w:jc w:val="left"/>
              <w:rPr/>
            </w:pPr>
            <w:hyperlink w:anchor="fin66194_14">
              <w:r>
                <w:rPr>
                  <w:rStyle w:val="InternetLink"/>
                  <w:rFonts w:ascii="Times New Roman" w:hAnsi="Times New Roman"/>
                  <w:sz w:val="20"/>
                </w:rPr>
                <w:t>Notes to the Consolidated Financial Statements</w:t>
              </w:r>
            </w:hyperlink>
          </w:p>
        </w:tc>
        <w:tc>
          <w:tcPr>
            <w:tcW w:w="1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F-29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fin66194_1"/>
      <w:bookmarkEnd w:id="24"/>
      <w:r>
        <w:rPr>
          <w:rFonts w:ascii="Times New Roman" w:hAnsi="Times New Roman"/>
          <w:b/>
          <w:sz w:val="20"/>
        </w:rPr>
        <w:t xml:space="preserve">Review 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and the Board of Directors of Hornbeck Offshore Services, Inc. </w:t>
      </w:r>
    </w:p>
    <w:p>
      <w:pPr>
        <w:pStyle w:val="TextBody"/>
        <w:bidi w:val="0"/>
        <w:spacing w:before="240" w:after="0"/>
        <w:jc w:val="left"/>
        <w:rPr>
          <w:rFonts w:ascii="Times New Roman" w:hAnsi="Times New Roman"/>
          <w:sz w:val="20"/>
        </w:rPr>
      </w:pPr>
      <w:r>
        <w:rPr>
          <w:rFonts w:ascii="Times New Roman" w:hAnsi="Times New Roman"/>
          <w:b/>
          <w:sz w:val="20"/>
        </w:rPr>
        <w:t>Results of Review of Interim Financial Statement</w:t>
      </w:r>
      <w:r>
        <w:rPr>
          <w:rFonts w:ascii="Times New Roman" w:hAnsi="Times New Roman"/>
          <w:sz w:val="20"/>
        </w:rPr>
        <w:t xml:space="preserve">s </w:t>
      </w:r>
    </w:p>
    <w:p>
      <w:pPr>
        <w:pStyle w:val="TextBody"/>
        <w:bidi w:val="0"/>
        <w:spacing w:before="120" w:after="0"/>
        <w:jc w:val="left"/>
        <w:rPr>
          <w:rFonts w:ascii="Times New Roman" w:hAnsi="Times New Roman"/>
          <w:sz w:val="20"/>
        </w:rPr>
      </w:pPr>
      <w:r>
        <w:rPr>
          <w:rFonts w:ascii="Times New Roman" w:hAnsi="Times New Roman"/>
          <w:sz w:val="20"/>
        </w:rPr>
        <w:t xml:space="preserve">We have reviewed the accompanying consolidated balance sheet of Hornbeck Offshore Services, Inc. and Subsidiaries (the Company) as of September 30, 2025, the related consolidated statements of operations, comprehensive income, changes in stockholders’ equity for the three-month and nine-month periods ended September 30, 2025 and 2024 and cash flows for the nine-month periods ended September 30, 2025 and 2024,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 </w:t>
      </w:r>
    </w:p>
    <w:p>
      <w:pPr>
        <w:pStyle w:val="TextBody"/>
        <w:bidi w:val="0"/>
        <w:spacing w:before="240" w:after="0"/>
        <w:jc w:val="left"/>
        <w:rPr>
          <w:rFonts w:ascii="Times New Roman" w:hAnsi="Times New Roman"/>
          <w:sz w:val="20"/>
        </w:rPr>
      </w:pPr>
      <w:r>
        <w:rPr>
          <w:rFonts w:ascii="Times New Roman" w:hAnsi="Times New Roman"/>
          <w:sz w:val="20"/>
        </w:rPr>
        <w:t xml:space="preserve">We have previously audited, in accordance with the standards of the Public Company Accounting Oversight Board (United States) (PCAOB) and in accordance with auditing standards generally accepted in the United States of America, the consolidated balance sheet of the Company as of December 31, 2024, and the related consolidated statements of operations, comprehensive income, changes in stockholders’ equity and cash flows for the year then ended, and the related notes (not presented herein); and in our report dated March 21, 2025, we expressed an unqualified audit opinion on those consolidated financial statements. In our opinion, the information set forth in the accompanying consolidated balance sheet as of December 31, 2024, is fairly stated, in all material respects, in relation to the consolidated balance sheet from which it has been derived.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Review Results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and in accordance with auditing standards generally accepted in the United States of America applicable to reviews of interim financial information.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and auditing standards generally accepted in the United States of America, the objective of which is the expression of an opinion regarding the financial statements taken as a whole. Accordingly, we do not express such an opinion.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New Orleans, Louisiana </w:t>
      </w:r>
    </w:p>
    <w:p>
      <w:pPr>
        <w:pStyle w:val="TextBody"/>
        <w:bidi w:val="0"/>
        <w:spacing w:before="240" w:after="0"/>
        <w:jc w:val="left"/>
        <w:rPr>
          <w:rFonts w:ascii="Times New Roman" w:hAnsi="Times New Roman"/>
          <w:sz w:val="20"/>
        </w:rPr>
      </w:pPr>
      <w:r>
        <w:rPr>
          <w:rFonts w:ascii="Times New Roman" w:hAnsi="Times New Roman"/>
          <w:sz w:val="20"/>
        </w:rPr>
        <w:t xml:space="preserve">November 7,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fin66194_2"/>
      <w:bookmarkEnd w:id="25"/>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26"/>
        <w:gridCol w:w="218"/>
        <w:gridCol w:w="192"/>
        <w:gridCol w:w="1352"/>
        <w:gridCol w:w="155"/>
        <w:gridCol w:w="178"/>
        <w:gridCol w:w="176"/>
        <w:gridCol w:w="1249"/>
        <w:gridCol w:w="159"/>
      </w:tblGrid>
      <w:tr>
        <w:trPr/>
        <w:tc>
          <w:tcPr>
            <w:tcW w:w="6526"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2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5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544"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bidi w:val="0"/>
              <w:spacing w:before="0" w:after="283"/>
              <w:jc w:val="center"/>
              <w:rPr>
                <w:b/>
              </w:rPr>
            </w:pPr>
            <w:r>
              <w:rPr>
                <w:b/>
              </w:rPr>
              <w:t>(Audited)</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97,757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80,803</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 of $10,434 and $7,929, respectively</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168,423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145,527</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7,589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4,490</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19,618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13,755</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14,058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12,376</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307,445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256,951</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733,799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674,729</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765</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charges, net</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90,357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72,075</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18,649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20,748</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right-of-use assets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11,559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1,142</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57</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1,161,866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49" w:type="dxa"/>
            <w:tcBorders/>
            <w:shd w:fill="CCEEFF" w:val="clear"/>
            <w:vAlign w:val="bottom"/>
          </w:tcPr>
          <w:p>
            <w:pPr>
              <w:pStyle w:val="TableContents"/>
              <w:bidi w:val="0"/>
              <w:spacing w:before="0" w:after="283"/>
              <w:jc w:val="right"/>
              <w:rPr/>
            </w:pPr>
            <w:r>
              <w:rPr/>
              <w:t>1,026,467</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sz w:val="4"/>
                <w:szCs w:val="4"/>
              </w:rPr>
            </w:pPr>
            <w:r>
              <w:rPr>
                <w:sz w:val="4"/>
                <w:szCs w:val="4"/>
              </w:rPr>
            </w:r>
          </w:p>
        </w:tc>
        <w:tc>
          <w:tcPr>
            <w:tcW w:w="13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4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57,222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71,092</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3,456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578</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23,842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22,267</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3,686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5,037</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4,818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457</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taxes payable</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8,157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9,914</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5,229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6,694</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2,775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1,962</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109,185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118,001</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original issue discount of $6,044 and $6,750, and deferred financing costs of $1,968 and $2,019, respectively</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440,314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441,231</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8,404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6,049</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17,884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18,861</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7,109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589</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8,001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7,594</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481,712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474,324</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590,897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592,325</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sz w:val="4"/>
                <w:szCs w:val="4"/>
              </w:rPr>
            </w:pPr>
            <w:r>
              <w:rPr>
                <w:sz w:val="4"/>
                <w:szCs w:val="4"/>
              </w:rPr>
            </w:r>
          </w:p>
        </w:tc>
        <w:tc>
          <w:tcPr>
            <w:tcW w:w="13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4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$0.00001 par value; 50,000 shares authorized; 5,419 and 5,367 shares issued and outstanding, respectively</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268,358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264,869</w:t>
            </w:r>
          </w:p>
        </w:tc>
        <w:tc>
          <w:tcPr>
            <w:tcW w:w="159" w:type="dxa"/>
            <w:tcBorders/>
            <w:vAlign w:val="bottom"/>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303,420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176,761</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52" w:type="dxa"/>
            <w:tcBorders/>
            <w:vAlign w:val="bottom"/>
          </w:tcPr>
          <w:p>
            <w:pPr>
              <w:pStyle w:val="TableContents"/>
              <w:bidi w:val="0"/>
              <w:spacing w:before="0" w:after="283"/>
              <w:jc w:val="right"/>
              <w:rPr/>
            </w:pPr>
            <w:r>
              <w:rPr/>
              <w:t>(809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49" w:type="dxa"/>
            <w:tcBorders/>
            <w:vAlign w:val="bottom"/>
          </w:tcPr>
          <w:p>
            <w:pPr>
              <w:pStyle w:val="TableContents"/>
              <w:bidi w:val="0"/>
              <w:spacing w:before="0" w:after="283"/>
              <w:jc w:val="right"/>
              <w:rPr/>
            </w:pPr>
            <w:r>
              <w:rPr/>
              <w:t>(7,488</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1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352" w:type="dxa"/>
            <w:tcBorders/>
            <w:shd w:fill="CCEEFF" w:val="clear"/>
            <w:vAlign w:val="bottom"/>
          </w:tcPr>
          <w:p>
            <w:pPr>
              <w:pStyle w:val="TableContents"/>
              <w:bidi w:val="0"/>
              <w:spacing w:before="0" w:after="283"/>
              <w:jc w:val="right"/>
              <w:rPr/>
            </w:pPr>
            <w:r>
              <w:rPr/>
              <w:t>570,969</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49" w:type="dxa"/>
            <w:tcBorders/>
            <w:shd w:fill="CCEEFF" w:val="clear"/>
            <w:vAlign w:val="bottom"/>
          </w:tcPr>
          <w:p>
            <w:pPr>
              <w:pStyle w:val="TableContents"/>
              <w:bidi w:val="0"/>
              <w:spacing w:before="0" w:after="283"/>
              <w:jc w:val="right"/>
              <w:rPr/>
            </w:pPr>
            <w:r>
              <w:rPr/>
              <w:t>434,142</w:t>
            </w:r>
          </w:p>
        </w:tc>
        <w:tc>
          <w:tcPr>
            <w:tcW w:w="159" w:type="dxa"/>
            <w:tcBorders/>
            <w:shd w:fill="CCEEFF" w:val="clear"/>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single" w:sz="2" w:space="1" w:color="000000"/>
              </w:pBdr>
              <w:bidi w:val="0"/>
              <w:spacing w:before="0" w:after="0"/>
              <w:jc w:val="left"/>
              <w:rPr/>
            </w:pPr>
            <w:r>
              <w:rPr/>
              <w:t> </w:t>
            </w:r>
          </w:p>
        </w:tc>
        <w:tc>
          <w:tcPr>
            <w:tcW w:w="13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4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2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1,161,866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49" w:type="dxa"/>
            <w:tcBorders/>
            <w:vAlign w:val="bottom"/>
          </w:tcPr>
          <w:p>
            <w:pPr>
              <w:pStyle w:val="TableContents"/>
              <w:bidi w:val="0"/>
              <w:spacing w:before="0" w:after="283"/>
              <w:jc w:val="right"/>
              <w:rPr/>
            </w:pPr>
            <w:r>
              <w:rPr/>
              <w:t>1,026,467</w:t>
            </w:r>
          </w:p>
        </w:tc>
        <w:tc>
          <w:tcPr>
            <w:tcW w:w="159" w:type="dxa"/>
            <w:tcBorders/>
            <w:vAlign w:val="bottom"/>
          </w:tcPr>
          <w:p>
            <w:pPr>
              <w:pStyle w:val="TableContents"/>
              <w:bidi w:val="0"/>
              <w:spacing w:before="0" w:after="283"/>
              <w:jc w:val="left"/>
              <w:rPr/>
            </w:pPr>
            <w:r>
              <w:rPr/>
              <w:t> </w:t>
            </w:r>
          </w:p>
        </w:tc>
      </w:tr>
      <w:tr>
        <w:trPr/>
        <w:tc>
          <w:tcPr>
            <w:tcW w:w="6526"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92" w:type="dxa"/>
            <w:tcBorders/>
            <w:vAlign w:val="bottom"/>
          </w:tcPr>
          <w:p>
            <w:pPr>
              <w:pStyle w:val="TableContents"/>
              <w:pBdr>
                <w:top w:val="double" w:sz="6" w:space="1" w:color="000000"/>
              </w:pBdr>
              <w:bidi w:val="0"/>
              <w:spacing w:before="0" w:after="0"/>
              <w:jc w:val="left"/>
              <w:rPr/>
            </w:pPr>
            <w:r>
              <w:rPr/>
              <w:t> </w:t>
            </w:r>
          </w:p>
        </w:tc>
        <w:tc>
          <w:tcPr>
            <w:tcW w:w="13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4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fin66194_3"/>
      <w:bookmarkEnd w:id="26"/>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99"/>
        <w:gridCol w:w="204"/>
        <w:gridCol w:w="147"/>
        <w:gridCol w:w="894"/>
        <w:gridCol w:w="174"/>
        <w:gridCol w:w="164"/>
        <w:gridCol w:w="147"/>
        <w:gridCol w:w="896"/>
        <w:gridCol w:w="155"/>
        <w:gridCol w:w="162"/>
        <w:gridCol w:w="140"/>
        <w:gridCol w:w="803"/>
        <w:gridCol w:w="155"/>
        <w:gridCol w:w="162"/>
        <w:gridCol w:w="140"/>
        <w:gridCol w:w="803"/>
        <w:gridCol w:w="160"/>
      </w:tblGrid>
      <w:tr>
        <w:trPr/>
        <w:tc>
          <w:tcPr>
            <w:tcW w:w="489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89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2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0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0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422" w:type="dxa"/>
            <w:gridSpan w:val="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2203" w:type="dxa"/>
            <w:gridSpan w:val="6"/>
            <w:tcBorders/>
            <w:vAlign w:val="bottom"/>
          </w:tcPr>
          <w:p>
            <w:pPr>
              <w:pStyle w:val="TableContents"/>
              <w:bidi w:val="0"/>
              <w:spacing w:before="0" w:after="283"/>
              <w:jc w:val="center"/>
              <w:rPr>
                <w:b/>
              </w:rPr>
            </w:pPr>
            <w:r>
              <w:rPr>
                <w:b/>
              </w:rPr>
              <w:t>(Unaudited)</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186,445</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161,158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507,582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444,365</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12,671</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12,048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37,963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35,617</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199,116</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173,206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545,545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479,982</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94"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89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93,437</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92,499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280,669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274,317</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10,026</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9,811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30,016</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27,904</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11,244</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6,892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30,209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19,055</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22,259</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19,230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57,274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51,660</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1,737</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1,828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5,190</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6,251</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138,703</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130,260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403,358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379,187</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143</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13,022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31</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60,556</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42,946</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155,209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100,826</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7,665</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6,688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23,594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20,125</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1,357</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1,562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3,702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4,569</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6,308</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5,126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19,892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15,556</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54,248</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37,820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135,317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85,270</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94"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9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(219</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(1,013</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5,640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6,336</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— </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11</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(219</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5,395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5,334</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54,029</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96" w:type="dxa"/>
            <w:tcBorders/>
            <w:vAlign w:val="bottom"/>
          </w:tcPr>
          <w:p>
            <w:pPr>
              <w:pStyle w:val="TableContents"/>
              <w:bidi w:val="0"/>
              <w:spacing w:before="0" w:after="283"/>
              <w:jc w:val="right"/>
              <w:rPr/>
            </w:pPr>
            <w:r>
              <w:rPr/>
              <w:t>43,215</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135,102</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90,604</w:t>
            </w:r>
          </w:p>
        </w:tc>
        <w:tc>
          <w:tcPr>
            <w:tcW w:w="160" w:type="dxa"/>
            <w:tcBorders/>
            <w:vAlign w:val="bottom"/>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2,103</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96" w:type="dxa"/>
            <w:tcBorders/>
            <w:shd w:fill="CCEEFF" w:val="clear"/>
            <w:vAlign w:val="bottom"/>
          </w:tcPr>
          <w:p>
            <w:pPr>
              <w:pStyle w:val="TableContents"/>
              <w:bidi w:val="0"/>
              <w:spacing w:before="0" w:after="283"/>
              <w:jc w:val="right"/>
              <w:rPr/>
            </w:pPr>
            <w:r>
              <w:rPr/>
              <w:t>4,332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8,443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7,495</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51,926</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38,883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126,659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83,109</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20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3.24</w:t>
            </w:r>
          </w:p>
        </w:tc>
        <w:tc>
          <w:tcPr>
            <w:tcW w:w="174"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96" w:type="dxa"/>
            <w:tcBorders/>
            <w:shd w:fill="CCEEFF" w:val="clear"/>
            <w:vAlign w:val="bottom"/>
          </w:tcPr>
          <w:p>
            <w:pPr>
              <w:pStyle w:val="TableContents"/>
              <w:bidi w:val="0"/>
              <w:spacing w:before="0" w:after="283"/>
              <w:jc w:val="right"/>
              <w:rPr/>
            </w:pPr>
            <w:r>
              <w:rPr/>
              <w:t>2.27</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7.92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4.86</w:t>
            </w:r>
          </w:p>
        </w:tc>
        <w:tc>
          <w:tcPr>
            <w:tcW w:w="160" w:type="dxa"/>
            <w:tcBorders/>
            <w:shd w:fill="CCEEFF" w:val="clear"/>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899" w:type="dxa"/>
            <w:tcBorders/>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2.85</w:t>
            </w:r>
          </w:p>
        </w:tc>
        <w:tc>
          <w:tcPr>
            <w:tcW w:w="174"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896" w:type="dxa"/>
            <w:tcBorders/>
            <w:vAlign w:val="bottom"/>
          </w:tcPr>
          <w:p>
            <w:pPr>
              <w:pStyle w:val="TableContents"/>
              <w:bidi w:val="0"/>
              <w:spacing w:before="0" w:after="283"/>
              <w:jc w:val="right"/>
              <w:rPr/>
            </w:pPr>
            <w:r>
              <w:rPr/>
              <w:t>2.01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6.97</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4.31</w:t>
            </w:r>
          </w:p>
        </w:tc>
        <w:tc>
          <w:tcPr>
            <w:tcW w:w="160" w:type="dxa"/>
            <w:tcBorders/>
            <w:vAlign w:val="bottom"/>
          </w:tcPr>
          <w:p>
            <w:pPr>
              <w:pStyle w:val="TableContents"/>
              <w:bidi w:val="0"/>
              <w:spacing w:before="0" w:after="283"/>
              <w:jc w:val="left"/>
              <w:rPr/>
            </w:pPr>
            <w:r>
              <w:rPr/>
              <w:t> </w:t>
            </w:r>
          </w:p>
        </w:tc>
      </w:tr>
      <w:tr>
        <w:trPr/>
        <w:tc>
          <w:tcPr>
            <w:tcW w:w="489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174" w:type="dxa"/>
            <w:tcBorders/>
            <w:vAlign w:val="center"/>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fin66194_4"/>
      <w:bookmarkEnd w:id="27"/>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63"/>
        <w:gridCol w:w="213"/>
        <w:gridCol w:w="152"/>
        <w:gridCol w:w="681"/>
        <w:gridCol w:w="60"/>
        <w:gridCol w:w="213"/>
        <w:gridCol w:w="152"/>
        <w:gridCol w:w="681"/>
        <w:gridCol w:w="60"/>
        <w:gridCol w:w="213"/>
        <w:gridCol w:w="140"/>
        <w:gridCol w:w="822"/>
        <w:gridCol w:w="60"/>
        <w:gridCol w:w="213"/>
        <w:gridCol w:w="140"/>
        <w:gridCol w:w="680"/>
        <w:gridCol w:w="162"/>
      </w:tblGrid>
      <w:tr>
        <w:trPr/>
        <w:tc>
          <w:tcPr>
            <w:tcW w:w="556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2"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9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939" w:type="dxa"/>
            <w:gridSpan w:val="6"/>
            <w:tcBorders/>
            <w:vAlign w:val="bottom"/>
          </w:tcPr>
          <w:p>
            <w:pPr>
              <w:pStyle w:val="TableContents"/>
              <w:bidi w:val="0"/>
              <w:spacing w:before="0" w:after="283"/>
              <w:jc w:val="center"/>
              <w:rPr>
                <w:b/>
              </w:rPr>
            </w:pPr>
            <w:r>
              <w:rPr>
                <w:b/>
              </w:rPr>
              <w:t>(Unaudited)</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055" w:type="dxa"/>
            <w:gridSpan w:val="6"/>
            <w:tcBorders/>
            <w:vAlign w:val="bottom"/>
          </w:tcPr>
          <w:p>
            <w:pPr>
              <w:pStyle w:val="TableContents"/>
              <w:bidi w:val="0"/>
              <w:spacing w:before="0" w:after="283"/>
              <w:jc w:val="center"/>
              <w:rPr>
                <w:b/>
              </w:rPr>
            </w:pPr>
            <w:r>
              <w:rPr>
                <w:b/>
              </w:rPr>
              <w:t>(Unaudited)</w:t>
            </w:r>
          </w:p>
        </w:tc>
        <w:tc>
          <w:tcPr>
            <w:tcW w:w="162" w:type="dxa"/>
            <w:tcBorders/>
            <w:vAlign w:val="bottom"/>
          </w:tcPr>
          <w:p>
            <w:pPr>
              <w:pStyle w:val="TableContents"/>
              <w:bidi w:val="0"/>
              <w:spacing w:before="0" w:after="283"/>
              <w:jc w:val="left"/>
              <w:rPr/>
            </w:pPr>
            <w:r>
              <w:rPr/>
              <w:t> </w:t>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51,926</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38,883</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2" w:type="dxa"/>
            <w:tcBorders/>
            <w:shd w:fill="CCEEFF" w:val="clear"/>
            <w:vAlign w:val="bottom"/>
          </w:tcPr>
          <w:p>
            <w:pPr>
              <w:pStyle w:val="TableContents"/>
              <w:bidi w:val="0"/>
              <w:spacing w:before="0" w:after="283"/>
              <w:jc w:val="right"/>
              <w:rPr/>
            </w:pPr>
            <w:r>
              <w:rPr/>
              <w:t>126,659</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83,109</w:t>
            </w:r>
          </w:p>
        </w:tc>
        <w:tc>
          <w:tcPr>
            <w:tcW w:w="162" w:type="dxa"/>
            <w:tcBorders/>
            <w:shd w:fill="CCEEFF" w:val="clear"/>
            <w:vAlign w:val="bottom"/>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(loss), net</w:t>
            </w:r>
          </w:p>
        </w:tc>
        <w:tc>
          <w:tcPr>
            <w:tcW w:w="21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1,465</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551</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6,679</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(4,305</w:t>
            </w:r>
          </w:p>
        </w:tc>
        <w:tc>
          <w:tcPr>
            <w:tcW w:w="162" w:type="dxa"/>
            <w:tcBorders/>
            <w:shd w:fill="CCEEFF" w:val="clear"/>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5563"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53,391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39,434</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2" w:type="dxa"/>
            <w:tcBorders/>
            <w:vAlign w:val="bottom"/>
          </w:tcPr>
          <w:p>
            <w:pPr>
              <w:pStyle w:val="TableContents"/>
              <w:bidi w:val="0"/>
              <w:spacing w:before="0" w:after="283"/>
              <w:jc w:val="right"/>
              <w:rPr/>
            </w:pPr>
            <w:r>
              <w:rPr/>
              <w:t>133,338</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78,804</w:t>
            </w:r>
          </w:p>
        </w:tc>
        <w:tc>
          <w:tcPr>
            <w:tcW w:w="162" w:type="dxa"/>
            <w:tcBorders/>
            <w:vAlign w:val="bottom"/>
          </w:tcPr>
          <w:p>
            <w:pPr>
              <w:pStyle w:val="TableContents"/>
              <w:bidi w:val="0"/>
              <w:spacing w:before="0" w:after="283"/>
              <w:jc w:val="left"/>
              <w:rPr/>
            </w:pPr>
            <w:r>
              <w:rPr/>
              <w:t> </w:t>
            </w:r>
          </w:p>
        </w:tc>
      </w:tr>
      <w:tr>
        <w:trPr/>
        <w:tc>
          <w:tcPr>
            <w:tcW w:w="556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fin66194_5"/>
      <w:bookmarkEnd w:id="28"/>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240" w:type="dxa"/>
        <w:jc w:val="center"/>
        <w:tblInd w:w="0" w:type="dxa"/>
        <w:tblLayout w:type="fixed"/>
        <w:tblCellMar>
          <w:top w:w="0" w:type="dxa"/>
          <w:left w:w="0" w:type="dxa"/>
          <w:bottom w:w="0" w:type="dxa"/>
          <w:right w:w="0" w:type="dxa"/>
        </w:tblCellMar>
      </w:tblPr>
      <w:tblGrid>
        <w:gridCol w:w="1175"/>
        <w:gridCol w:w="60"/>
        <w:gridCol w:w="93"/>
        <w:gridCol w:w="872"/>
        <w:gridCol w:w="60"/>
        <w:gridCol w:w="60"/>
        <w:gridCol w:w="81"/>
        <w:gridCol w:w="929"/>
        <w:gridCol w:w="60"/>
        <w:gridCol w:w="60"/>
        <w:gridCol w:w="259"/>
        <w:gridCol w:w="706"/>
        <w:gridCol w:w="60"/>
        <w:gridCol w:w="60"/>
        <w:gridCol w:w="163"/>
        <w:gridCol w:w="937"/>
        <w:gridCol w:w="155"/>
        <w:gridCol w:w="60"/>
        <w:gridCol w:w="141"/>
        <w:gridCol w:w="809"/>
        <w:gridCol w:w="60"/>
        <w:gridCol w:w="60"/>
        <w:gridCol w:w="290"/>
        <w:gridCol w:w="1320"/>
        <w:gridCol w:w="155"/>
        <w:gridCol w:w="60"/>
        <w:gridCol w:w="199"/>
        <w:gridCol w:w="1141"/>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2025</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July 1, 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266,621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251,494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(2,274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515,841</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warrants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1,737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1,737</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sz w:val="4"/>
                <w:szCs w:val="4"/>
              </w:rPr>
            </w:pPr>
            <w:r>
              <w:rPr>
                <w:sz w:val="4"/>
                <w:szCs w:val="4"/>
              </w:rPr>
            </w:r>
          </w:p>
        </w:tc>
        <w:tc>
          <w:tcPr>
            <w:tcW w:w="93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51,926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51,926</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1,465</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2025</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5,419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268,358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303,420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(809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570,969</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9065" w:type="dxa"/>
            <w:gridSpan w:val="28"/>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2025</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5,367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264,869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176,761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(7,488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434,142</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warrants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4,886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4,886</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Shares withheld for employee withholding taxes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(1,397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(1,397</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126,659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126,659</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6,679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6,679</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2025</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5,419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268,358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303,420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(809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570,969</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175" w:type="dxa"/>
            <w:tcBorders/>
            <w:vAlign w:val="center"/>
          </w:tcPr>
          <w:p>
            <w:pPr>
              <w:pStyle w:val="TableContents"/>
              <w:bidi w:val="0"/>
              <w:spacing w:before="0" w:after="283"/>
              <w:jc w:val="left"/>
              <w:rPr>
                <w:sz w:val="4"/>
                <w:szCs w:val="4"/>
              </w:rPr>
            </w:pPr>
            <w:r>
              <w:rPr>
                <w:sz w:val="4"/>
                <w:szCs w:val="4"/>
              </w:rPr>
            </w:r>
          </w:p>
        </w:tc>
        <w:tc>
          <w:tcPr>
            <w:tcW w:w="9065" w:type="dxa"/>
            <w:gridSpan w:val="28"/>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2024</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July 1, 2024</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11,377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211,389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192,654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(2,767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401,276</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warrants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1,855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1,855</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38,883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38,883</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551</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11,377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213,244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231,537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(2,216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442,565</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240" w:type="dxa"/>
        <w:jc w:val="center"/>
        <w:tblInd w:w="0" w:type="dxa"/>
        <w:tblLayout w:type="fixed"/>
        <w:tblCellMar>
          <w:top w:w="0" w:type="dxa"/>
          <w:left w:w="0" w:type="dxa"/>
          <w:bottom w:w="0" w:type="dxa"/>
          <w:right w:w="0" w:type="dxa"/>
        </w:tblCellMar>
      </w:tblPr>
      <w:tblGrid>
        <w:gridCol w:w="1175"/>
        <w:gridCol w:w="60"/>
        <w:gridCol w:w="93"/>
        <w:gridCol w:w="872"/>
        <w:gridCol w:w="60"/>
        <w:gridCol w:w="60"/>
        <w:gridCol w:w="81"/>
        <w:gridCol w:w="929"/>
        <w:gridCol w:w="60"/>
        <w:gridCol w:w="60"/>
        <w:gridCol w:w="259"/>
        <w:gridCol w:w="706"/>
        <w:gridCol w:w="60"/>
        <w:gridCol w:w="60"/>
        <w:gridCol w:w="163"/>
        <w:gridCol w:w="937"/>
        <w:gridCol w:w="155"/>
        <w:gridCol w:w="60"/>
        <w:gridCol w:w="141"/>
        <w:gridCol w:w="809"/>
        <w:gridCol w:w="60"/>
        <w:gridCol w:w="60"/>
        <w:gridCol w:w="290"/>
        <w:gridCol w:w="1320"/>
        <w:gridCol w:w="155"/>
        <w:gridCol w:w="60"/>
        <w:gridCol w:w="199"/>
        <w:gridCol w:w="1141"/>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 2024</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0" w:type="dxa"/>
            <w:gridSpan w:val="26"/>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Retained</w:t>
              <w:br/>
              <w:t>Earnings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2024</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11,377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210,776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148,428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2,089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361,293</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common stock and warrants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130</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6,054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6,054</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Shares withheld for employee withholding taxes</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(3,716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(3,716</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83,109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83,109</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 net</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(4,305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(4,305</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September 30, 2024</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11,377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213,244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231,537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(2,216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442,565</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9"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fin66194_6"/>
      <w:bookmarkEnd w:id="29"/>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9"/>
        <w:gridCol w:w="140"/>
        <w:gridCol w:w="140"/>
        <w:gridCol w:w="801"/>
        <w:gridCol w:w="155"/>
        <w:gridCol w:w="110"/>
        <w:gridCol w:w="110"/>
        <w:gridCol w:w="140"/>
        <w:gridCol w:w="140"/>
        <w:gridCol w:w="801"/>
        <w:gridCol w:w="159"/>
      </w:tblGrid>
      <w:tr>
        <w:trPr/>
        <w:tc>
          <w:tcPr>
            <w:tcW w:w="7509"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97" w:type="dxa"/>
            <w:gridSpan w:val="8"/>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2397" w:type="dxa"/>
            <w:gridSpan w:val="8"/>
            <w:tcBorders/>
            <w:vAlign w:val="bottom"/>
          </w:tcPr>
          <w:p>
            <w:pPr>
              <w:pStyle w:val="TableContents"/>
              <w:bidi w:val="0"/>
              <w:spacing w:before="0" w:after="283"/>
              <w:jc w:val="center"/>
              <w:rPr>
                <w:b/>
              </w:rPr>
            </w:pPr>
            <w:r>
              <w:rPr>
                <w:b/>
              </w:rPr>
              <w:t>(Unaudited)</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126,659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83,109</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30,016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27,904</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30,209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19,055</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5,190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6,251</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credit losses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2,505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722</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expense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2,355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2,883</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financing costs &amp; OID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1,382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19</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contract-specific costs of sales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1,951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610</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Mark-to-market adjustment of creditor warrants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(6,336</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(13,022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(22,492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(31,902</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Deferred drydocking charges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(47,853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(38,101</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and long-term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(10,125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(14,015</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(10,084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20,496</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2,878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(160</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Accrued liabilities and other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(2,669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4,623</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96,967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75,127</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Maintenance capital improvements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(15,370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(15,775</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Growth capital expenditures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(34,771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(36,753</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capital expenditures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(33,789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(32,137</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Non-vessel capital expenditures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(7,461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(707</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proceeds from sale of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13,234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38</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(78,157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(85,334</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Partial repayment of second-lien term loans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(1,674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Prepayment fee on second-lien term loans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(67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Deferred financing costs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(209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(1,771</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in lieu of shares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(70</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withholding taxes on net share settlements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(1,397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(3,716</w:t>
            </w:r>
          </w:p>
        </w:tc>
        <w:tc>
          <w:tcPr>
            <w:tcW w:w="159" w:type="dxa"/>
            <w:tcBorders/>
            <w:vAlign w:val="bottom"/>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payments under finance lease obligations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(570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(235</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Other cash flows from financing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(4,028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(5,792</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exchange rate changes on cash</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1,407</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(1,989</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16,189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(17,988</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period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81,568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120,820</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period</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97,757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102,832</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b/>
                <w:sz w:val="20"/>
              </w:rPr>
            </w:pPr>
            <w:r>
              <w:rPr>
                <w:rFonts w:ascii="Times New Roman" w:hAnsi="Times New Roman"/>
                <w:b/>
                <w:sz w:val="20"/>
              </w:rPr>
              <w:t>SUPPLEMENTAL DISCLOSURES OF CASH FLOW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29,191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22,174</w:t>
            </w:r>
          </w:p>
        </w:tc>
        <w:tc>
          <w:tcPr>
            <w:tcW w:w="159" w:type="dxa"/>
            <w:tcBorders/>
            <w:shd w:fill="CCEEFF" w:val="clear"/>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509"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income taxes, net of refunds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1" w:type="dxa"/>
            <w:tcBorders/>
            <w:vAlign w:val="bottom"/>
          </w:tcPr>
          <w:p>
            <w:pPr>
              <w:pStyle w:val="TableContents"/>
              <w:bidi w:val="0"/>
              <w:spacing w:before="0" w:after="283"/>
              <w:jc w:val="right"/>
              <w:rPr/>
            </w:pPr>
            <w:r>
              <w:rPr/>
              <w:t>17,150</w:t>
            </w:r>
          </w:p>
        </w:tc>
        <w:tc>
          <w:tcPr>
            <w:tcW w:w="159" w:type="dxa"/>
            <w:tcBorders/>
            <w:vAlign w:val="bottom"/>
          </w:tcPr>
          <w:p>
            <w:pPr>
              <w:pStyle w:val="TableContents"/>
              <w:bidi w:val="0"/>
              <w:spacing w:before="0" w:after="283"/>
              <w:jc w:val="left"/>
              <w:rPr/>
            </w:pPr>
            <w:r>
              <w:rPr/>
              <w:t> </w:t>
            </w:r>
          </w:p>
        </w:tc>
      </w:tr>
      <w:tr>
        <w:trPr/>
        <w:tc>
          <w:tcPr>
            <w:tcW w:w="7509"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fin66194_7"/>
      <w:bookmarkEnd w:id="30"/>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1.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consolidated financial statements reflect the financial position, results of operations, comprehensive income, cash flows, and changes in stockholders’ equity of Hornbeck Offshore Services, Inc., a Delaware corporation, and its consolidated subsidiaries, collectively referred to as “Hornbeck”, “Company,” “we,” “us,” or “our”.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unaudited consolidated financial statements have been prepared in accordance with United States (U.S.) generally accepted accounting principles (GAAP) for interim financial information. Accordingly, certain information and footnote disclosures normally included in our annual financial statements have been condensed or omitted. These unaudited consolidated financial statements should be read in conjunction with our audited consolidated financial statements and notes thereto as of and for the year ended December 31, 2024. In the opinion of management, the accompanying financial information reflects all normal recurring adjustments necessary to fairly state our results of operations, financial position and cash flows for the periods presented and are not indicative of the results that may be expected for a full year. </w:t>
      </w:r>
    </w:p>
    <w:p>
      <w:pPr>
        <w:pStyle w:val="TextBody"/>
        <w:bidi w:val="0"/>
        <w:spacing w:before="240" w:after="0"/>
        <w:jc w:val="left"/>
        <w:rPr>
          <w:rFonts w:ascii="Times New Roman" w:hAnsi="Times New Roman"/>
          <w:sz w:val="20"/>
        </w:rPr>
      </w:pPr>
      <w:r>
        <w:rPr>
          <w:rFonts w:ascii="Times New Roman" w:hAnsi="Times New Roman"/>
          <w:sz w:val="20"/>
        </w:rPr>
        <w:t xml:space="preserve">Our financial statements have been prepared on a consolidated basis. Under this basis of presentation, our financial statements consolidate all subsidiaries (entities in which we have a controlling financial interest), and all intercompany accounts and transactions have been eliminated. </w:t>
      </w:r>
    </w:p>
    <w:p>
      <w:pPr>
        <w:pStyle w:val="TextBody"/>
        <w:bidi w:val="0"/>
        <w:spacing w:before="360" w:after="0"/>
        <w:jc w:val="left"/>
        <w:rPr>
          <w:rFonts w:ascii="Times New Roman" w:hAnsi="Times New Roman"/>
          <w:b/>
          <w:sz w:val="20"/>
        </w:rPr>
      </w:pPr>
      <w:r>
        <w:rPr>
          <w:rFonts w:ascii="Times New Roman" w:hAnsi="Times New Roman"/>
          <w:b/>
          <w:sz w:val="20"/>
        </w:rPr>
        <w:t xml:space="preserve">2. 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brief description of recent accounting pronouncements that could have a material effect on the Company’s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0"/>
        <w:gridCol w:w="202"/>
        <w:gridCol w:w="3644"/>
        <w:gridCol w:w="202"/>
        <w:gridCol w:w="1938"/>
        <w:gridCol w:w="202"/>
        <w:gridCol w:w="1947"/>
      </w:tblGrid>
      <w:tr>
        <w:trPr/>
        <w:tc>
          <w:tcPr>
            <w:tcW w:w="207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207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2" w:type="dxa"/>
            <w:tcBorders/>
            <w:vAlign w:val="bottom"/>
          </w:tcPr>
          <w:p>
            <w:pPr>
              <w:pStyle w:val="TableContents"/>
              <w:bidi w:val="0"/>
              <w:spacing w:before="0" w:after="283"/>
              <w:jc w:val="left"/>
              <w:rPr/>
            </w:pPr>
            <w:r>
              <w:rPr/>
              <w:t>  </w:t>
            </w:r>
          </w:p>
        </w:tc>
        <w:tc>
          <w:tcPr>
            <w:tcW w:w="364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2" w:type="dxa"/>
            <w:tcBorders/>
            <w:vAlign w:val="bottom"/>
          </w:tcPr>
          <w:p>
            <w:pPr>
              <w:pStyle w:val="TableContents"/>
              <w:bidi w:val="0"/>
              <w:spacing w:before="0" w:after="283"/>
              <w:jc w:val="left"/>
              <w:rPr/>
            </w:pPr>
            <w:r>
              <w:rPr/>
              <w:t>  </w:t>
            </w:r>
          </w:p>
        </w:tc>
        <w:tc>
          <w:tcPr>
            <w:tcW w:w="193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 of Adoption</w:t>
            </w:r>
          </w:p>
        </w:tc>
        <w:tc>
          <w:tcPr>
            <w:tcW w:w="202" w:type="dxa"/>
            <w:tcBorders/>
            <w:vAlign w:val="bottom"/>
          </w:tcPr>
          <w:p>
            <w:pPr>
              <w:pStyle w:val="TableContents"/>
              <w:bidi w:val="0"/>
              <w:spacing w:before="0" w:after="283"/>
              <w:jc w:val="left"/>
              <w:rPr/>
            </w:pPr>
            <w:r>
              <w:rPr/>
              <w:t>  </w:t>
            </w:r>
          </w:p>
        </w:tc>
        <w:tc>
          <w:tcPr>
            <w:tcW w:w="19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c>
          <w:tcPr>
            <w:tcW w:w="2070" w:type="dxa"/>
            <w:tcBorders/>
          </w:tcPr>
          <w:p>
            <w:pPr>
              <w:pStyle w:val="TableContents"/>
              <w:bidi w:val="0"/>
              <w:spacing w:before="0" w:after="283"/>
              <w:jc w:val="left"/>
              <w:rPr>
                <w:i/>
              </w:rPr>
            </w:pPr>
            <w:r>
              <w:rPr>
                <w:i/>
              </w:rPr>
              <w:t>Standards that have been adopted:</w:t>
            </w:r>
          </w:p>
        </w:tc>
        <w:tc>
          <w:tcPr>
            <w:tcW w:w="202"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38"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left"/>
              <w:rPr>
                <w:sz w:val="4"/>
                <w:szCs w:val="4"/>
              </w:rPr>
            </w:pPr>
            <w:r>
              <w:rPr>
                <w:sz w:val="4"/>
                <w:szCs w:val="4"/>
              </w:rPr>
            </w:r>
          </w:p>
        </w:tc>
      </w:tr>
      <w:tr>
        <w:trPr>
          <w:trHeight w:val="120" w:hRule="atLeast"/>
        </w:trPr>
        <w:tc>
          <w:tcPr>
            <w:tcW w:w="2070" w:type="dxa"/>
            <w:tcBorders/>
            <w:vAlign w:val="center"/>
          </w:tcPr>
          <w:p>
            <w:pPr>
              <w:pStyle w:val="TableContents"/>
              <w:bidi w:val="0"/>
              <w:spacing w:before="0" w:after="283"/>
              <w:jc w:val="left"/>
              <w:rPr>
                <w:sz w:val="4"/>
                <w:szCs w:val="4"/>
              </w:rPr>
            </w:pPr>
            <w:r>
              <w:rPr>
                <w:sz w:val="4"/>
                <w:szCs w:val="4"/>
              </w:rPr>
            </w:r>
          </w:p>
        </w:tc>
        <w:tc>
          <w:tcPr>
            <w:tcW w:w="3846" w:type="dxa"/>
            <w:gridSpan w:val="2"/>
            <w:tcBorders/>
            <w:vAlign w:val="center"/>
          </w:tcPr>
          <w:p>
            <w:pPr>
              <w:pStyle w:val="TableContents"/>
              <w:bidi w:val="0"/>
              <w:spacing w:before="0" w:after="283"/>
              <w:jc w:val="left"/>
              <w:rPr>
                <w:sz w:val="4"/>
                <w:szCs w:val="4"/>
              </w:rPr>
            </w:pPr>
            <w:r>
              <w:rPr>
                <w:sz w:val="4"/>
                <w:szCs w:val="4"/>
              </w:rPr>
            </w:r>
          </w:p>
        </w:tc>
        <w:tc>
          <w:tcPr>
            <w:tcW w:w="2140" w:type="dxa"/>
            <w:gridSpan w:val="2"/>
            <w:tcBorders/>
            <w:vAlign w:val="center"/>
          </w:tcPr>
          <w:p>
            <w:pPr>
              <w:pStyle w:val="TableContents"/>
              <w:bidi w:val="0"/>
              <w:spacing w:before="0" w:after="283"/>
              <w:jc w:val="left"/>
              <w:rPr>
                <w:sz w:val="4"/>
                <w:szCs w:val="4"/>
              </w:rPr>
            </w:pPr>
            <w:r>
              <w:rPr>
                <w:sz w:val="4"/>
                <w:szCs w:val="4"/>
              </w:rPr>
            </w:r>
          </w:p>
        </w:tc>
        <w:tc>
          <w:tcPr>
            <w:tcW w:w="2149" w:type="dxa"/>
            <w:gridSpan w:val="2"/>
            <w:tcBorders/>
            <w:vAlign w:val="center"/>
          </w:tcPr>
          <w:p>
            <w:pPr>
              <w:pStyle w:val="TableContents"/>
              <w:bidi w:val="0"/>
              <w:spacing w:before="0" w:after="283"/>
              <w:jc w:val="left"/>
              <w:rPr>
                <w:sz w:val="4"/>
                <w:szCs w:val="4"/>
              </w:rPr>
            </w:pPr>
            <w:r>
              <w:rPr>
                <w:sz w:val="4"/>
                <w:szCs w:val="4"/>
              </w:rPr>
            </w:r>
          </w:p>
        </w:tc>
      </w:tr>
      <w:tr>
        <w:trPr/>
        <w:tc>
          <w:tcPr>
            <w:tcW w:w="2070" w:type="dxa"/>
            <w:tcBorders/>
          </w:tcPr>
          <w:p>
            <w:pPr>
              <w:pStyle w:val="TableContents"/>
              <w:bidi w:val="0"/>
              <w:spacing w:before="0" w:after="283"/>
              <w:jc w:val="left"/>
              <w:rPr>
                <w:i/>
              </w:rPr>
            </w:pPr>
            <w:r>
              <w:rPr>
                <w:i/>
              </w:rPr>
              <w:t>ASU No. 2023-07, Segment Reporting (Topic 280): Improvements to Reportable Segment Disclosures</w:t>
            </w:r>
          </w:p>
        </w:tc>
        <w:tc>
          <w:tcPr>
            <w:tcW w:w="202"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The amendments in this update improve reportable segment disclosure requirements, primarily related to significant segment expenses. In addition, the amendments enhance interim disclosures, clarify circumstances in which an entity can disclose multiple segment measures of profit or loss, provide new disclosure requirements for entities with a single reportable segment, and contain other related disclosure requirements. Retrospective application is required. Early adoption is permitted.</w:t>
            </w:r>
          </w:p>
        </w:tc>
        <w:tc>
          <w:tcPr>
            <w:tcW w:w="202" w:type="dxa"/>
            <w:tcBorders/>
            <w:vAlign w:val="bottom"/>
          </w:tcPr>
          <w:p>
            <w:pPr>
              <w:pStyle w:val="TableContents"/>
              <w:bidi w:val="0"/>
              <w:spacing w:before="0" w:after="283"/>
              <w:jc w:val="left"/>
              <w:rPr/>
            </w:pPr>
            <w:r>
              <w:rPr/>
              <w:t>  </w:t>
            </w:r>
          </w:p>
        </w:tc>
        <w:tc>
          <w:tcPr>
            <w:tcW w:w="1938" w:type="dxa"/>
            <w:tcBorders/>
          </w:tcPr>
          <w:p>
            <w:pPr>
              <w:pStyle w:val="TableContents"/>
              <w:bidi w:val="0"/>
              <w:spacing w:before="0" w:after="283"/>
              <w:jc w:val="left"/>
              <w:rPr/>
            </w:pPr>
            <w:r>
              <w:rPr/>
              <w:t>Effective for fiscal years beginning after December 15, 2023, and interim periods within fiscal years beginning after December 15, 2024.</w:t>
            </w:r>
          </w:p>
        </w:tc>
        <w:tc>
          <w:tcPr>
            <w:tcW w:w="202"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left"/>
              <w:rPr/>
            </w:pPr>
            <w:r>
              <w:rPr/>
              <w:t>The Company adopted the annual reporting requirements under ASU No. 2023-07 on January 1, 2024 and the interim disclosure requirements on January 1, 2025. This adoption had no material impact on its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3"/>
        <w:gridCol w:w="3778"/>
        <w:gridCol w:w="202"/>
        <w:gridCol w:w="1838"/>
        <w:gridCol w:w="203"/>
        <w:gridCol w:w="1940"/>
      </w:tblGrid>
      <w:tr>
        <w:trPr/>
        <w:tc>
          <w:tcPr>
            <w:tcW w:w="204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3" w:type="dxa"/>
            <w:tcBorders/>
            <w:vAlign w:val="bottom"/>
          </w:tcPr>
          <w:p>
            <w:pPr>
              <w:pStyle w:val="TableContents"/>
              <w:bidi w:val="0"/>
              <w:spacing w:before="0" w:after="283"/>
              <w:jc w:val="left"/>
              <w:rPr/>
            </w:pPr>
            <w:r>
              <w:rPr/>
              <w:t>  </w:t>
            </w:r>
          </w:p>
        </w:tc>
        <w:tc>
          <w:tcPr>
            <w:tcW w:w="377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2" w:type="dxa"/>
            <w:tcBorders/>
            <w:vAlign w:val="bottom"/>
          </w:tcPr>
          <w:p>
            <w:pPr>
              <w:pStyle w:val="TableContents"/>
              <w:bidi w:val="0"/>
              <w:spacing w:before="0" w:after="283"/>
              <w:jc w:val="left"/>
              <w:rPr/>
            </w:pPr>
            <w:r>
              <w:rPr/>
              <w:t>  </w:t>
            </w:r>
          </w:p>
        </w:tc>
        <w:tc>
          <w:tcPr>
            <w:tcW w:w="1838"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 of Adoption</w:t>
            </w:r>
          </w:p>
        </w:tc>
        <w:tc>
          <w:tcPr>
            <w:tcW w:w="203"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2023-05, Business Combinations—Joint Venture Formations (Subtopic 805-60): Recognition and Initial Measurement</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This standard requires a joint venture to initially measure all contributions received upon its formation at fair value. ASU No. 2023-05 requires prospective application for all newly-formed joint venture entities with a formation date on or after January 1, 2025. Joint ventures formed prior to the adoption date may elect to apply the guidance retrospectively back to their original formation date. Early adoption is permitted.</w:t>
            </w:r>
          </w:p>
        </w:tc>
        <w:tc>
          <w:tcPr>
            <w:tcW w:w="202"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left"/>
              <w:rPr/>
            </w:pPr>
            <w:r>
              <w:rPr/>
              <w:t>January 1, 2025</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adopted ASU No. 2023-05 on January 1, 2025 and elected to apply the standard prospectively. The adoption had no material impact on its consolidated financial statements.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2025-05, Financial Instruments—Credit Losses (Topic 326): Measurement of Credit Losses for Accounts Receivable and Contract Assets</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 xml:space="preserve">This standard amends ASU 326, </w:t>
            </w:r>
            <w:r>
              <w:rPr>
                <w:i/>
              </w:rPr>
              <w:t>Financial Instruments—Credit Losses</w:t>
            </w:r>
            <w:r>
              <w:rPr/>
              <w:t>, to provide a practical expedient that allows entities to assume the current conditions as of the balance sheet date remain unchanged for the remaining life of the asset in the development of a reasonable and supportable forecast for current accounts receivable and current contract assets arising from transactions accounted for under ASC 606. ASU No. 2025-05 must be applied prospectively. Early adoption is permitted.</w:t>
            </w:r>
          </w:p>
        </w:tc>
        <w:tc>
          <w:tcPr>
            <w:tcW w:w="202"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left"/>
              <w:rPr/>
            </w:pPr>
            <w:r>
              <w:rPr/>
              <w:t>Effective for fiscal years beginning after December 15, 2025, and interim periods within those fiscal years.</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adopted the practical expedient of ASU No. 2025-05 on September 1, 2025. The adoption had no material impact on its consolidated financial statements.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2023-09, Income Taxes (Topic 740): Improvements to Income Tax Disclosures</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This standard requires disaggregated information about a reporting entity’s effective tax rate reconciliation, as well as information on income taxes paid. ASU No. 2023-09 requires prospective application with the option to apply the standard retrospectively. Early adoption is permitted.</w:t>
            </w:r>
          </w:p>
        </w:tc>
        <w:tc>
          <w:tcPr>
            <w:tcW w:w="202"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left"/>
              <w:rPr/>
            </w:pPr>
            <w:r>
              <w:rPr/>
              <w:t>January 1, 2025</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adopted ASU No. 2023-09 on January 1, 2025 and elected to apply the standard prospectively. The adoption had no material impact on its consolidated financial statements, and the Company’s 2025 year-end financial statements will contain additional disclosures to address the requirements of this ASU.</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2024-01, Compensation—Stock Compensation (Topic 718): Scope Application of Profits Interest and Similar Awards</w:t>
            </w:r>
          </w:p>
        </w:tc>
        <w:tc>
          <w:tcPr>
            <w:tcW w:w="203" w:type="dxa"/>
            <w:tcBorders/>
            <w:vAlign w:val="bottom"/>
          </w:tcPr>
          <w:p>
            <w:pPr>
              <w:pStyle w:val="TableContents"/>
              <w:bidi w:val="0"/>
              <w:spacing w:before="0" w:after="283"/>
              <w:jc w:val="left"/>
              <w:rPr/>
            </w:pPr>
            <w:r>
              <w:rPr/>
              <w:t>  </w:t>
            </w:r>
          </w:p>
        </w:tc>
        <w:tc>
          <w:tcPr>
            <w:tcW w:w="3778" w:type="dxa"/>
            <w:tcBorders/>
          </w:tcPr>
          <w:p>
            <w:pPr>
              <w:pStyle w:val="TableContents"/>
              <w:bidi w:val="0"/>
              <w:spacing w:before="0" w:after="283"/>
              <w:jc w:val="left"/>
              <w:rPr/>
            </w:pPr>
            <w:r>
              <w:rPr/>
              <w:t>This standard clarifies how an entity determines whether a profits interest or similar award is (1) within the scope of ASC 718 or (2) not a share-based payment arrangement and therefore within the scope of other guidance. ASU No. 2024-01 may be applied prospectively or retrospectively. Early adoption is permitted.</w:t>
            </w:r>
          </w:p>
        </w:tc>
        <w:tc>
          <w:tcPr>
            <w:tcW w:w="202"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left"/>
              <w:rPr/>
            </w:pPr>
            <w:r>
              <w:rPr/>
              <w:t>January 1, 2025</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adopted ASU No. 2024-01 on January 1, 2025 and elected to apply the standard prospectively. The adoption had no material impact on its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041"/>
        <w:gridCol w:w="204"/>
        <w:gridCol w:w="3777"/>
        <w:gridCol w:w="203"/>
        <w:gridCol w:w="1837"/>
        <w:gridCol w:w="203"/>
        <w:gridCol w:w="1940"/>
      </w:tblGrid>
      <w:tr>
        <w:trPr/>
        <w:tc>
          <w:tcPr>
            <w:tcW w:w="204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Standard</w:t>
            </w:r>
          </w:p>
        </w:tc>
        <w:tc>
          <w:tcPr>
            <w:tcW w:w="204" w:type="dxa"/>
            <w:tcBorders/>
            <w:vAlign w:val="bottom"/>
          </w:tcPr>
          <w:p>
            <w:pPr>
              <w:pStyle w:val="TableContents"/>
              <w:bidi w:val="0"/>
              <w:spacing w:before="0" w:after="283"/>
              <w:jc w:val="left"/>
              <w:rPr/>
            </w:pPr>
            <w:r>
              <w:rPr/>
              <w:t>  </w:t>
            </w:r>
          </w:p>
        </w:tc>
        <w:tc>
          <w:tcPr>
            <w:tcW w:w="377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c>
          <w:tcPr>
            <w:tcW w:w="203" w:type="dxa"/>
            <w:tcBorders/>
            <w:vAlign w:val="bottom"/>
          </w:tcPr>
          <w:p>
            <w:pPr>
              <w:pStyle w:val="TableContents"/>
              <w:bidi w:val="0"/>
              <w:spacing w:before="0" w:after="283"/>
              <w:jc w:val="left"/>
              <w:rPr/>
            </w:pPr>
            <w:r>
              <w:rPr/>
              <w:t>  </w:t>
            </w:r>
          </w:p>
        </w:tc>
        <w:tc>
          <w:tcPr>
            <w:tcW w:w="1837"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Date of Adoption</w:t>
            </w:r>
          </w:p>
        </w:tc>
        <w:tc>
          <w:tcPr>
            <w:tcW w:w="203"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Standards that have not been adopted:</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sz w:val="4"/>
                <w:szCs w:val="4"/>
              </w:rPr>
            </w:pPr>
            <w:r>
              <w:rPr>
                <w:sz w:val="4"/>
                <w:szCs w:val="4"/>
              </w:rPr>
            </w:r>
          </w:p>
        </w:tc>
      </w:tr>
      <w:tr>
        <w:trPr>
          <w:trHeight w:val="120" w:hRule="atLeast"/>
        </w:trPr>
        <w:tc>
          <w:tcPr>
            <w:tcW w:w="2041" w:type="dxa"/>
            <w:tcBorders/>
            <w:vAlign w:val="center"/>
          </w:tcPr>
          <w:p>
            <w:pPr>
              <w:pStyle w:val="TableContents"/>
              <w:bidi w:val="0"/>
              <w:spacing w:before="0" w:after="283"/>
              <w:jc w:val="left"/>
              <w:rPr>
                <w:sz w:val="4"/>
                <w:szCs w:val="4"/>
              </w:rPr>
            </w:pPr>
            <w:r>
              <w:rPr>
                <w:sz w:val="4"/>
                <w:szCs w:val="4"/>
              </w:rPr>
            </w:r>
          </w:p>
        </w:tc>
        <w:tc>
          <w:tcPr>
            <w:tcW w:w="3981" w:type="dxa"/>
            <w:gridSpan w:val="2"/>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041" w:type="dxa"/>
            <w:tcBorders/>
          </w:tcPr>
          <w:p>
            <w:pPr>
              <w:pStyle w:val="TableContents"/>
              <w:bidi w:val="0"/>
              <w:spacing w:before="0" w:after="283"/>
              <w:jc w:val="left"/>
              <w:rPr>
                <w:i/>
              </w:rPr>
            </w:pPr>
            <w:r>
              <w:rPr>
                <w:i/>
              </w:rPr>
              <w:t>ASU No. 2024-03, Income Statement—Reporting Comprehensive Income—Expense Disaggregation Disclosures (Subtopic 220-40): Disaggregation of Income Statement Expenses</w:t>
            </w:r>
          </w:p>
        </w:tc>
        <w:tc>
          <w:tcPr>
            <w:tcW w:w="204" w:type="dxa"/>
            <w:tcBorders/>
            <w:vAlign w:val="bottom"/>
          </w:tcPr>
          <w:p>
            <w:pPr>
              <w:pStyle w:val="TableContents"/>
              <w:bidi w:val="0"/>
              <w:spacing w:before="0" w:after="283"/>
              <w:jc w:val="left"/>
              <w:rPr/>
            </w:pPr>
            <w:r>
              <w:rPr/>
              <w:t>  </w:t>
            </w:r>
          </w:p>
        </w:tc>
        <w:tc>
          <w:tcPr>
            <w:tcW w:w="3777" w:type="dxa"/>
            <w:tcBorders/>
          </w:tcPr>
          <w:p>
            <w:pPr>
              <w:pStyle w:val="TableContents"/>
              <w:bidi w:val="0"/>
              <w:spacing w:before="0" w:after="283"/>
              <w:jc w:val="left"/>
              <w:rPr/>
            </w:pPr>
            <w:r>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203" w:type="dxa"/>
            <w:tcBorders/>
            <w:vAlign w:val="bottom"/>
          </w:tcPr>
          <w:p>
            <w:pPr>
              <w:pStyle w:val="TableContents"/>
              <w:bidi w:val="0"/>
              <w:spacing w:before="0" w:after="283"/>
              <w:jc w:val="left"/>
              <w:rPr/>
            </w:pPr>
            <w:r>
              <w:rPr/>
              <w:t>  </w:t>
            </w:r>
          </w:p>
        </w:tc>
        <w:tc>
          <w:tcPr>
            <w:tcW w:w="1837" w:type="dxa"/>
            <w:tcBorders/>
          </w:tcPr>
          <w:p>
            <w:pPr>
              <w:pStyle w:val="TableContents"/>
              <w:bidi w:val="0"/>
              <w:spacing w:before="0" w:after="283"/>
              <w:jc w:val="left"/>
              <w:rPr/>
            </w:pPr>
            <w:r>
              <w:rPr/>
              <w:t>Effective for fiscal years beginning after December 15, 2026, and interim periods within fiscal years beginning after December 15, 2027.</w:t>
            </w:r>
          </w:p>
        </w:tc>
        <w:tc>
          <w:tcPr>
            <w:tcW w:w="203"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The Company will adopt the annual reporting requirements of ASU No. 2024-03 on January 1, 2027 and the interim disclosure requirements on January 1, 2028 and elect to apply the standard prospectively. The Company does not believe that the implementation of this guidance will have a material impact on its consolidated financial statements.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3. Allowance for Credit Losses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 </w:t>
      </w:r>
    </w:p>
    <w:p>
      <w:pPr>
        <w:pStyle w:val="TextBody"/>
        <w:bidi w:val="0"/>
        <w:spacing w:before="240" w:after="0"/>
        <w:jc w:val="left"/>
        <w:rPr>
          <w:rFonts w:ascii="Times New Roman" w:hAnsi="Times New Roman"/>
          <w:sz w:val="20"/>
        </w:rPr>
      </w:pPr>
      <w:r>
        <w:rPr>
          <w:rFonts w:ascii="Times New Roman" w:hAnsi="Times New Roman"/>
          <w:sz w:val="20"/>
        </w:rPr>
        <w:t xml:space="preserve">Activity in the allowance for credit losses was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36"/>
        <w:gridCol w:w="355"/>
        <w:gridCol w:w="178"/>
        <w:gridCol w:w="916"/>
        <w:gridCol w:w="75"/>
        <w:gridCol w:w="379"/>
        <w:gridCol w:w="178"/>
        <w:gridCol w:w="758"/>
        <w:gridCol w:w="64"/>
      </w:tblGrid>
      <w:tr>
        <w:trPr/>
        <w:tc>
          <w:tcPr>
            <w:tcW w:w="4036"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4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September 30,</w:t>
            </w:r>
          </w:p>
        </w:tc>
        <w:tc>
          <w:tcPr>
            <w:tcW w:w="64" w:type="dxa"/>
            <w:tcBorders/>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July 1</w:t>
            </w:r>
          </w:p>
        </w:tc>
        <w:tc>
          <w:tcPr>
            <w:tcW w:w="3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6,900</w:t>
            </w:r>
          </w:p>
        </w:tc>
        <w:tc>
          <w:tcPr>
            <w:tcW w:w="7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6,273</w:t>
            </w:r>
          </w:p>
        </w:tc>
        <w:tc>
          <w:tcPr>
            <w:tcW w:w="64" w:type="dxa"/>
            <w:tcBorders/>
            <w:shd w:fill="CCEEFF" w:val="clear"/>
            <w:vAlign w:val="bottom"/>
          </w:tcPr>
          <w:p>
            <w:pPr>
              <w:pStyle w:val="TableContents"/>
              <w:bidi w:val="0"/>
              <w:spacing w:before="0" w:after="283"/>
              <w:jc w:val="left"/>
              <w:rPr/>
            </w:pPr>
            <w:r>
              <w:rPr/>
              <w:t> </w:t>
            </w:r>
          </w:p>
        </w:tc>
      </w:tr>
      <w:tr>
        <w:trPr/>
        <w:tc>
          <w:tcPr>
            <w:tcW w:w="4036" w:type="dxa"/>
            <w:tcBorders/>
          </w:tcPr>
          <w:p>
            <w:pPr>
              <w:pStyle w:val="TableContents"/>
              <w:bidi w:val="0"/>
              <w:spacing w:before="0" w:after="0"/>
              <w:jc w:val="left"/>
              <w:rPr>
                <w:rFonts w:ascii="Times New Roman" w:hAnsi="Times New Roman"/>
                <w:sz w:val="20"/>
              </w:rPr>
            </w:pPr>
            <w:r>
              <w:rPr>
                <w:rFonts w:ascii="Times New Roman" w:hAnsi="Times New Roman"/>
                <w:sz w:val="20"/>
              </w:rPr>
              <w:t>Current period provision for credit losses</w:t>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3,534</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756</w:t>
            </w:r>
          </w:p>
        </w:tc>
        <w:tc>
          <w:tcPr>
            <w:tcW w:w="64" w:type="dxa"/>
            <w:tcBorders/>
            <w:vAlign w:val="bottom"/>
          </w:tcPr>
          <w:p>
            <w:pPr>
              <w:pStyle w:val="TableContents"/>
              <w:bidi w:val="0"/>
              <w:spacing w:before="0" w:after="283"/>
              <w:jc w:val="left"/>
              <w:rPr/>
            </w:pPr>
            <w:r>
              <w:rPr/>
              <w:t> </w:t>
            </w:r>
          </w:p>
        </w:tc>
      </w:tr>
      <w:tr>
        <w:trPr/>
        <w:tc>
          <w:tcPr>
            <w:tcW w:w="4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3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3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w:t>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10,434</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7,029</w:t>
            </w:r>
          </w:p>
        </w:tc>
        <w:tc>
          <w:tcPr>
            <w:tcW w:w="64" w:type="dxa"/>
            <w:tcBorders/>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036"/>
        <w:gridCol w:w="355"/>
        <w:gridCol w:w="178"/>
        <w:gridCol w:w="916"/>
        <w:gridCol w:w="75"/>
        <w:gridCol w:w="379"/>
        <w:gridCol w:w="178"/>
        <w:gridCol w:w="758"/>
        <w:gridCol w:w="64"/>
      </w:tblGrid>
      <w:tr>
        <w:trPr/>
        <w:tc>
          <w:tcPr>
            <w:tcW w:w="4036" w:type="dxa"/>
            <w:tcBorders/>
            <w:vAlign w:val="center"/>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24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r>
          </w:p>
        </w:tc>
        <w:tc>
          <w:tcPr>
            <w:tcW w:w="64" w:type="dxa"/>
            <w:tcBorders/>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pPr>
            <w:r>
              <w:rPr/>
              <w:t> </w:t>
            </w:r>
          </w:p>
        </w:tc>
        <w:tc>
          <w:tcPr>
            <w:tcW w:w="355" w:type="dxa"/>
            <w:tcBorders/>
            <w:vAlign w:val="bottom"/>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4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w:t>
            </w:r>
          </w:p>
        </w:tc>
        <w:tc>
          <w:tcPr>
            <w:tcW w:w="3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916" w:type="dxa"/>
            <w:tcBorders/>
            <w:shd w:fill="CCEEFF" w:val="clear"/>
            <w:vAlign w:val="bottom"/>
          </w:tcPr>
          <w:p>
            <w:pPr>
              <w:pStyle w:val="TableContents"/>
              <w:bidi w:val="0"/>
              <w:spacing w:before="0" w:after="283"/>
              <w:jc w:val="right"/>
              <w:rPr/>
            </w:pPr>
            <w:r>
              <w:rPr/>
              <w:t>7,929</w:t>
            </w:r>
          </w:p>
        </w:tc>
        <w:tc>
          <w:tcPr>
            <w:tcW w:w="7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6,307</w:t>
            </w:r>
          </w:p>
        </w:tc>
        <w:tc>
          <w:tcPr>
            <w:tcW w:w="64" w:type="dxa"/>
            <w:tcBorders/>
            <w:shd w:fill="CCEEFF" w:val="clear"/>
            <w:vAlign w:val="bottom"/>
          </w:tcPr>
          <w:p>
            <w:pPr>
              <w:pStyle w:val="TableContents"/>
              <w:bidi w:val="0"/>
              <w:spacing w:before="0" w:after="283"/>
              <w:jc w:val="left"/>
              <w:rPr/>
            </w:pPr>
            <w:r>
              <w:rPr/>
              <w:t> </w:t>
            </w:r>
          </w:p>
        </w:tc>
      </w:tr>
      <w:tr>
        <w:trPr/>
        <w:tc>
          <w:tcPr>
            <w:tcW w:w="4036" w:type="dxa"/>
            <w:tcBorders/>
          </w:tcPr>
          <w:p>
            <w:pPr>
              <w:pStyle w:val="TableContents"/>
              <w:bidi w:val="0"/>
              <w:spacing w:before="0" w:after="0"/>
              <w:jc w:val="left"/>
              <w:rPr>
                <w:rFonts w:ascii="Times New Roman" w:hAnsi="Times New Roman"/>
                <w:sz w:val="20"/>
              </w:rPr>
            </w:pPr>
            <w:r>
              <w:rPr>
                <w:rFonts w:ascii="Times New Roman" w:hAnsi="Times New Roman"/>
                <w:sz w:val="20"/>
              </w:rPr>
              <w:t>Current period provision for credit losses</w:t>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2,505</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722</w:t>
            </w:r>
          </w:p>
        </w:tc>
        <w:tc>
          <w:tcPr>
            <w:tcW w:w="64" w:type="dxa"/>
            <w:tcBorders/>
            <w:vAlign w:val="bottom"/>
          </w:tcPr>
          <w:p>
            <w:pPr>
              <w:pStyle w:val="TableContents"/>
              <w:bidi w:val="0"/>
              <w:spacing w:before="0" w:after="283"/>
              <w:jc w:val="left"/>
              <w:rPr/>
            </w:pPr>
            <w:r>
              <w:rPr/>
              <w:t> </w:t>
            </w:r>
          </w:p>
        </w:tc>
      </w:tr>
      <w:tr>
        <w:trPr/>
        <w:tc>
          <w:tcPr>
            <w:tcW w:w="4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3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916" w:type="dxa"/>
            <w:tcBorders/>
            <w:vAlign w:val="bottom"/>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03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September 30</w:t>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916" w:type="dxa"/>
            <w:tcBorders/>
            <w:vAlign w:val="bottom"/>
          </w:tcPr>
          <w:p>
            <w:pPr>
              <w:pStyle w:val="TableContents"/>
              <w:bidi w:val="0"/>
              <w:spacing w:before="0" w:after="283"/>
              <w:jc w:val="right"/>
              <w:rPr/>
            </w:pPr>
            <w:r>
              <w:rPr/>
              <w:t>10,434</w:t>
            </w:r>
          </w:p>
        </w:tc>
        <w:tc>
          <w:tcPr>
            <w:tcW w:w="75"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7,029</w:t>
            </w:r>
          </w:p>
        </w:tc>
        <w:tc>
          <w:tcPr>
            <w:tcW w:w="64" w:type="dxa"/>
            <w:tcBorders/>
            <w:vAlign w:val="bottom"/>
          </w:tcPr>
          <w:p>
            <w:pPr>
              <w:pStyle w:val="TableContents"/>
              <w:bidi w:val="0"/>
              <w:spacing w:before="0" w:after="283"/>
              <w:jc w:val="left"/>
              <w:rPr/>
            </w:pPr>
            <w:r>
              <w:rPr/>
              <w:t> </w:t>
            </w:r>
          </w:p>
        </w:tc>
      </w:tr>
      <w:tr>
        <w:trPr/>
        <w:tc>
          <w:tcPr>
            <w:tcW w:w="4036" w:type="dxa"/>
            <w:tcBorders/>
            <w:vAlign w:val="bottom"/>
          </w:tcPr>
          <w:p>
            <w:pPr>
              <w:pStyle w:val="TableContents"/>
              <w:bidi w:val="0"/>
              <w:spacing w:before="0" w:after="283"/>
              <w:jc w:val="left"/>
              <w:rPr>
                <w:sz w:val="4"/>
                <w:szCs w:val="4"/>
              </w:rPr>
            </w:pPr>
            <w:r>
              <w:rPr>
                <w:sz w:val="4"/>
                <w:szCs w:val="4"/>
              </w:rPr>
            </w:r>
          </w:p>
        </w:tc>
        <w:tc>
          <w:tcPr>
            <w:tcW w:w="355"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916" w:type="dxa"/>
            <w:tcBorders/>
            <w:vAlign w:val="bottom"/>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78"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4. Revenues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the Company had certain remaining performance obligations representing contracted vessel revenue for which work had not been performed and such contracts had an original expected duration of more than one year. As of September 30, 2025, the aggregate amount of the transaction price allocated to remaining performance obligations for such contracts totaled $192.9 million, of which $28.1 million is expected to be fully recognized in 2025, $102.0 million in 2026 and $62.8 million in 2027. These amounts are a result of multi-year vessel charters that commenced in either 2023, 2024 or 2025.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$5.2 million of deferred revenue included in current liabilities related to unsatisfied performance obligations that will be recognized during the remainder of 2025 and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Disaggregation of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recognized revenues as follows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45"/>
        <w:gridCol w:w="261"/>
        <w:gridCol w:w="140"/>
        <w:gridCol w:w="823"/>
        <w:gridCol w:w="60"/>
        <w:gridCol w:w="261"/>
        <w:gridCol w:w="140"/>
        <w:gridCol w:w="823"/>
        <w:gridCol w:w="60"/>
        <w:gridCol w:w="261"/>
        <w:gridCol w:w="140"/>
        <w:gridCol w:w="823"/>
        <w:gridCol w:w="60"/>
        <w:gridCol w:w="261"/>
        <w:gridCol w:w="140"/>
        <w:gridCol w:w="823"/>
        <w:gridCol w:w="67"/>
      </w:tblGrid>
      <w:tr>
        <w:trPr/>
        <w:tc>
          <w:tcPr>
            <w:tcW w:w="424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4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2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224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7" w:type="dxa"/>
            <w:tcBorders/>
            <w:vAlign w:val="bottom"/>
          </w:tcPr>
          <w:p>
            <w:pPr>
              <w:pStyle w:val="TableContents"/>
              <w:bidi w:val="0"/>
              <w:spacing w:before="0" w:after="283"/>
              <w:jc w:val="left"/>
              <w:rPr/>
            </w:pPr>
            <w:r>
              <w:rPr/>
              <w:t> </w:t>
            </w:r>
          </w:p>
        </w:tc>
      </w:tr>
      <w:tr>
        <w:trPr/>
        <w:tc>
          <w:tcPr>
            <w:tcW w:w="424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186,445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161,158</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507,582</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444,365</w:t>
            </w:r>
          </w:p>
        </w:tc>
        <w:tc>
          <w:tcPr>
            <w:tcW w:w="67" w:type="dxa"/>
            <w:tcBorders/>
            <w:shd w:fill="CCEEFF" w:val="clear"/>
            <w:vAlign w:val="bottom"/>
          </w:tcPr>
          <w:p>
            <w:pPr>
              <w:pStyle w:val="TableContents"/>
              <w:bidi w:val="0"/>
              <w:spacing w:before="0" w:after="283"/>
              <w:jc w:val="left"/>
              <w:rPr/>
            </w:pPr>
            <w:r>
              <w:rPr/>
              <w:t> </w:t>
            </w:r>
          </w:p>
        </w:tc>
      </w:tr>
      <w:tr>
        <w:trPr/>
        <w:tc>
          <w:tcPr>
            <w:tcW w:w="4245" w:type="dxa"/>
            <w:tcBorders/>
          </w:tcPr>
          <w:p>
            <w:pPr>
              <w:pStyle w:val="TableContents"/>
              <w:bidi w:val="0"/>
              <w:spacing w:before="0" w:after="0"/>
              <w:jc w:val="left"/>
              <w:rPr>
                <w:rFonts w:ascii="Times New Roman" w:hAnsi="Times New Roman"/>
                <w:sz w:val="20"/>
              </w:rPr>
            </w:pPr>
            <w:r>
              <w:rPr>
                <w:rFonts w:ascii="Times New Roman" w:hAnsi="Times New Roman"/>
                <w:sz w:val="20"/>
              </w:rPr>
              <w:t>Vessel management revenues</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12,136</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11,302</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35,756</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33,755</w:t>
            </w:r>
          </w:p>
        </w:tc>
        <w:tc>
          <w:tcPr>
            <w:tcW w:w="67" w:type="dxa"/>
            <w:tcBorders/>
            <w:vAlign w:val="bottom"/>
          </w:tcPr>
          <w:p>
            <w:pPr>
              <w:pStyle w:val="TableContents"/>
              <w:bidi w:val="0"/>
              <w:spacing w:before="0" w:after="283"/>
              <w:jc w:val="left"/>
              <w:rPr/>
            </w:pPr>
            <w:r>
              <w:rPr/>
              <w:t> </w:t>
            </w:r>
          </w:p>
        </w:tc>
      </w:tr>
      <w:tr>
        <w:trPr/>
        <w:tc>
          <w:tcPr>
            <w:tcW w:w="4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Shore-based facility revenues</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535</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746</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2,207</w:t>
            </w:r>
          </w:p>
        </w:tc>
        <w:tc>
          <w:tcPr>
            <w:tcW w:w="60"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1,862</w:t>
            </w:r>
          </w:p>
        </w:tc>
        <w:tc>
          <w:tcPr>
            <w:tcW w:w="67" w:type="dxa"/>
            <w:tcBorders/>
            <w:shd w:fill="CCEEFF" w:val="clear"/>
            <w:vAlign w:val="bottom"/>
          </w:tcPr>
          <w:p>
            <w:pPr>
              <w:pStyle w:val="TableContents"/>
              <w:bidi w:val="0"/>
              <w:spacing w:before="0" w:after="283"/>
              <w:jc w:val="left"/>
              <w:rPr/>
            </w:pPr>
            <w:r>
              <w:rPr/>
              <w:t> </w:t>
            </w:r>
          </w:p>
        </w:tc>
      </w:tr>
      <w:tr>
        <w:trPr/>
        <w:tc>
          <w:tcPr>
            <w:tcW w:w="424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45" w:type="dxa"/>
            <w:tcBorders/>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199,116</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173,206</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545,545</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479,982</w:t>
            </w:r>
          </w:p>
        </w:tc>
        <w:tc>
          <w:tcPr>
            <w:tcW w:w="67" w:type="dxa"/>
            <w:tcBorders/>
            <w:vAlign w:val="bottom"/>
          </w:tcPr>
          <w:p>
            <w:pPr>
              <w:pStyle w:val="TableContents"/>
              <w:bidi w:val="0"/>
              <w:spacing w:before="0" w:after="283"/>
              <w:jc w:val="left"/>
              <w:rPr/>
            </w:pPr>
            <w:r>
              <w:rPr/>
              <w:t> </w:t>
            </w:r>
          </w:p>
        </w:tc>
      </w:tr>
      <w:tr>
        <w:trPr/>
        <w:tc>
          <w:tcPr>
            <w:tcW w:w="424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by geographic region (1) were as follows (in thousands, except for % of Total):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4"/>
        <w:gridCol w:w="141"/>
        <w:gridCol w:w="140"/>
        <w:gridCol w:w="814"/>
        <w:gridCol w:w="60"/>
        <w:gridCol w:w="141"/>
        <w:gridCol w:w="60"/>
        <w:gridCol w:w="573"/>
        <w:gridCol w:w="275"/>
        <w:gridCol w:w="83"/>
        <w:gridCol w:w="140"/>
        <w:gridCol w:w="814"/>
        <w:gridCol w:w="60"/>
        <w:gridCol w:w="141"/>
        <w:gridCol w:w="60"/>
        <w:gridCol w:w="573"/>
        <w:gridCol w:w="275"/>
        <w:gridCol w:w="83"/>
        <w:gridCol w:w="140"/>
        <w:gridCol w:w="813"/>
        <w:gridCol w:w="60"/>
        <w:gridCol w:w="141"/>
        <w:gridCol w:w="60"/>
        <w:gridCol w:w="573"/>
        <w:gridCol w:w="275"/>
        <w:gridCol w:w="83"/>
        <w:gridCol w:w="140"/>
        <w:gridCol w:w="814"/>
        <w:gridCol w:w="60"/>
        <w:gridCol w:w="141"/>
        <w:gridCol w:w="60"/>
        <w:gridCol w:w="573"/>
        <w:gridCol w:w="285"/>
      </w:tblGrid>
      <w:tr>
        <w:trPr/>
        <w:tc>
          <w:tcPr>
            <w:tcW w:w="155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5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393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393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85" w:type="dxa"/>
            <w:tcBorders/>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w:t>
              <w:br/>
              <w:t>Total</w:t>
            </w:r>
          </w:p>
        </w:tc>
        <w:tc>
          <w:tcPr>
            <w:tcW w:w="285" w:type="dxa"/>
            <w:tcBorders/>
            <w:vAlign w:val="bottom"/>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145,286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73.0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132,128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76.3</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383,568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70.3</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359,298</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74.9</w:t>
            </w:r>
          </w:p>
        </w:tc>
        <w:tc>
          <w:tcPr>
            <w:tcW w:w="285" w:type="dxa"/>
            <w:tcBorders/>
            <w:shd w:fill="CCEEFF" w:val="clear"/>
            <w:vAlign w:val="bottom"/>
          </w:tcPr>
          <w:p>
            <w:pPr>
              <w:pStyle w:val="TableContents"/>
              <w:bidi w:val="0"/>
              <w:spacing w:before="0" w:after="283"/>
              <w:jc w:val="left"/>
              <w:rPr/>
            </w:pPr>
            <w:r>
              <w:rPr/>
              <w:t>% </w:t>
            </w:r>
          </w:p>
        </w:tc>
      </w:tr>
      <w:tr>
        <w:trPr/>
        <w:tc>
          <w:tcPr>
            <w:tcW w:w="1554"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(2)(3)</w:t>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53,830</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27.0</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41,078</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23.7</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161,977</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29.7</w:t>
            </w:r>
          </w:p>
        </w:tc>
        <w:tc>
          <w:tcPr>
            <w:tcW w:w="27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120,684</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25.1</w:t>
            </w:r>
          </w:p>
        </w:tc>
        <w:tc>
          <w:tcPr>
            <w:tcW w:w="285" w:type="dxa"/>
            <w:tcBorders/>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r>
        <w:trPr/>
        <w:tc>
          <w:tcPr>
            <w:tcW w:w="1554" w:type="dxa"/>
            <w:tcBorders/>
            <w:shd w:fill="CCEEFF" w:val="clear"/>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199,116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173,206</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545,545</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479,982</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100.0</w:t>
            </w:r>
          </w:p>
        </w:tc>
        <w:tc>
          <w:tcPr>
            <w:tcW w:w="285" w:type="dxa"/>
            <w:tcBorders/>
            <w:shd w:fill="CCEEFF" w:val="clear"/>
            <w:vAlign w:val="bottom"/>
          </w:tcPr>
          <w:p>
            <w:pPr>
              <w:pStyle w:val="TableContents"/>
              <w:bidi w:val="0"/>
              <w:spacing w:before="0" w:after="283"/>
              <w:jc w:val="left"/>
              <w:rPr/>
            </w:pPr>
            <w:r>
              <w:rPr/>
              <w:t>% </w:t>
            </w:r>
          </w:p>
        </w:tc>
      </w:tr>
      <w:tr>
        <w:trPr/>
        <w:tc>
          <w:tcPr>
            <w:tcW w:w="155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attributes revenues to individual geographic regions based on the location where services are performed.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$27.2 million, $9.3 million, and $8.8 million were attributed to services performed in Brazil, Mexico, and Colombia, respectively, for the three months ended September 30, 2025 and international revenues of $20.7 million, $9.9 million, and $9.0 million were attributed to services performed in Brazil, Mexico, and Colombia, respectively, for the three months ended September 30, 2024. Revenues attributed to other countries were not individually material for the periods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$89.6 million, $25.3 million, and $26.5 million were attributed to services performed in Brazil, Mexico, and Colombia, respectively, for the nine months ended September 30, 2025 and international revenues of $65.2 million, $22.7 million, and $18.5 million were attributed to services performed in Brazil, Mexico, and Colombia, respectively, for the nine months ended September 30, 2024. Revenues attributed to other countries were not individually material for the periods presented.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Major Customers </w:t>
      </w:r>
    </w:p>
    <w:p>
      <w:pPr>
        <w:pStyle w:val="TextBody"/>
        <w:bidi w:val="0"/>
        <w:spacing w:before="120" w:after="0"/>
        <w:jc w:val="left"/>
        <w:rPr>
          <w:rFonts w:ascii="Times New Roman" w:hAnsi="Times New Roman"/>
          <w:sz w:val="20"/>
        </w:rPr>
      </w:pPr>
      <w:r>
        <w:rPr>
          <w:rFonts w:ascii="Times New Roman" w:hAnsi="Times New Roman"/>
          <w:sz w:val="20"/>
        </w:rPr>
        <w:t xml:space="preserve">Revenues from the following customers represented 10% or more of consolidated revenues: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49"/>
        <w:gridCol w:w="404"/>
        <w:gridCol w:w="107"/>
        <w:gridCol w:w="546"/>
        <w:gridCol w:w="735"/>
        <w:gridCol w:w="356"/>
        <w:gridCol w:w="107"/>
        <w:gridCol w:w="549"/>
        <w:gridCol w:w="410"/>
        <w:gridCol w:w="311"/>
        <w:gridCol w:w="107"/>
        <w:gridCol w:w="546"/>
        <w:gridCol w:w="735"/>
        <w:gridCol w:w="356"/>
        <w:gridCol w:w="107"/>
        <w:gridCol w:w="549"/>
        <w:gridCol w:w="414"/>
      </w:tblGrid>
      <w:tr>
        <w:trPr/>
        <w:tc>
          <w:tcPr>
            <w:tcW w:w="3049" w:type="dxa"/>
            <w:tcBorders/>
            <w:vAlign w:val="center"/>
          </w:tcPr>
          <w:p>
            <w:pPr>
              <w:pStyle w:val="TableContents"/>
              <w:bidi w:val="0"/>
              <w:spacing w:before="0" w:after="283"/>
              <w:jc w:val="left"/>
              <w:rPr>
                <w:sz w:val="4"/>
                <w:szCs w:val="4"/>
              </w:rPr>
            </w:pPr>
            <w:r>
              <w:rPr>
                <w:sz w:val="4"/>
                <w:szCs w:val="4"/>
              </w:rPr>
            </w:r>
          </w:p>
        </w:tc>
        <w:tc>
          <w:tcPr>
            <w:tcW w:w="40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049"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w:t>
              <w:br/>
              <w:t>Ended September 30,</w:t>
            </w:r>
          </w:p>
        </w:tc>
        <w:tc>
          <w:tcPr>
            <w:tcW w:w="4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w:t>
            </w:r>
          </w:p>
        </w:tc>
        <w:tc>
          <w:tcPr>
            <w:tcW w:w="414" w:type="dxa"/>
            <w:tcBorders/>
            <w:vAlign w:val="bottom"/>
          </w:tcPr>
          <w:p>
            <w:pPr>
              <w:pStyle w:val="TableContents"/>
              <w:bidi w:val="0"/>
              <w:spacing w:before="0" w:after="283"/>
              <w:jc w:val="left"/>
              <w:rPr/>
            </w:pPr>
            <w:r>
              <w:rPr/>
              <w:t> </w:t>
            </w:r>
          </w:p>
        </w:tc>
      </w:tr>
      <w:tr>
        <w:trPr/>
        <w:tc>
          <w:tcPr>
            <w:tcW w:w="3049" w:type="dxa"/>
            <w:tcBorders/>
            <w:vAlign w:val="bottom"/>
          </w:tcPr>
          <w:p>
            <w:pPr>
              <w:pStyle w:val="TableContents"/>
              <w:bidi w:val="0"/>
              <w:spacing w:before="0" w:after="283"/>
              <w:jc w:val="left"/>
              <w:rPr/>
            </w:pPr>
            <w:r>
              <w:rPr/>
              <w:t> </w:t>
            </w:r>
          </w:p>
        </w:tc>
        <w:tc>
          <w:tcPr>
            <w:tcW w:w="404"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4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6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414"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40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16</w:t>
            </w:r>
          </w:p>
        </w:tc>
        <w:tc>
          <w:tcPr>
            <w:tcW w:w="73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15</w:t>
            </w:r>
          </w:p>
        </w:tc>
        <w:tc>
          <w:tcPr>
            <w:tcW w:w="41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16</w:t>
            </w:r>
          </w:p>
        </w:tc>
        <w:tc>
          <w:tcPr>
            <w:tcW w:w="73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16</w:t>
            </w:r>
          </w:p>
        </w:tc>
        <w:tc>
          <w:tcPr>
            <w:tcW w:w="414" w:type="dxa"/>
            <w:tcBorders/>
            <w:shd w:fill="CCEEFF" w:val="clear"/>
            <w:vAlign w:val="bottom"/>
          </w:tcPr>
          <w:p>
            <w:pPr>
              <w:pStyle w:val="TableContents"/>
              <w:bidi w:val="0"/>
              <w:spacing w:before="0" w:after="283"/>
              <w:jc w:val="left"/>
              <w:rPr/>
            </w:pPr>
            <w:r>
              <w:rPr/>
              <w:t>%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40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13</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12</w:t>
            </w:r>
          </w:p>
        </w:tc>
        <w:tc>
          <w:tcPr>
            <w:tcW w:w="4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16</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14</w:t>
            </w:r>
          </w:p>
        </w:tc>
        <w:tc>
          <w:tcPr>
            <w:tcW w:w="414" w:type="dxa"/>
            <w:tcBorders/>
            <w:vAlign w:val="bottom"/>
          </w:tcPr>
          <w:p>
            <w:pPr>
              <w:pStyle w:val="TableContents"/>
              <w:bidi w:val="0"/>
              <w:spacing w:before="0" w:after="283"/>
              <w:jc w:val="left"/>
              <w:rPr/>
            </w:pPr>
            <w:r>
              <w:rPr/>
              <w:t>% </w:t>
            </w:r>
          </w:p>
        </w:tc>
      </w:tr>
      <w:tr>
        <w:trPr/>
        <w:tc>
          <w:tcPr>
            <w:tcW w:w="3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40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11</w:t>
            </w:r>
          </w:p>
        </w:tc>
        <w:tc>
          <w:tcPr>
            <w:tcW w:w="73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n/a</w:t>
            </w:r>
          </w:p>
        </w:tc>
        <w:tc>
          <w:tcPr>
            <w:tcW w:w="410" w:type="dxa"/>
            <w:tcBorders/>
            <w:shd w:fill="CCEEFF" w:val="clear"/>
            <w:vAlign w:val="bottom"/>
          </w:tcPr>
          <w:p>
            <w:pPr>
              <w:pStyle w:val="TableContents"/>
              <w:bidi w:val="0"/>
              <w:spacing w:before="0" w:after="283"/>
              <w:jc w:val="left"/>
              <w:rPr/>
            </w:pPr>
            <w:r>
              <w:rPr/>
              <w:t> </w:t>
            </w:r>
            <w:r>
              <w:rPr/>
              <w:t>(1) </w:t>
            </w:r>
          </w:p>
        </w:tc>
        <w:tc>
          <w:tcPr>
            <w:tcW w:w="311"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right"/>
              <w:rPr/>
            </w:pPr>
            <w:r>
              <w:rPr/>
              <w:t>n/a</w:t>
            </w:r>
          </w:p>
        </w:tc>
        <w:tc>
          <w:tcPr>
            <w:tcW w:w="735" w:type="dxa"/>
            <w:tcBorders/>
            <w:shd w:fill="CCEEFF" w:val="clear"/>
            <w:vAlign w:val="bottom"/>
          </w:tcPr>
          <w:p>
            <w:pPr>
              <w:pStyle w:val="TableContents"/>
              <w:bidi w:val="0"/>
              <w:spacing w:before="0" w:after="283"/>
              <w:jc w:val="left"/>
              <w:rPr/>
            </w:pPr>
            <w:r>
              <w:rPr/>
              <w:t> </w:t>
            </w:r>
            <w:r>
              <w:rPr/>
              <w:t>(1) </w:t>
            </w:r>
          </w:p>
        </w:tc>
        <w:tc>
          <w:tcPr>
            <w:tcW w:w="35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n/a</w:t>
            </w:r>
          </w:p>
        </w:tc>
        <w:tc>
          <w:tcPr>
            <w:tcW w:w="414" w:type="dxa"/>
            <w:tcBorders/>
            <w:shd w:fill="CCEEFF" w:val="clear"/>
            <w:vAlign w:val="bottom"/>
          </w:tcPr>
          <w:p>
            <w:pPr>
              <w:pStyle w:val="TableContents"/>
              <w:bidi w:val="0"/>
              <w:spacing w:before="0" w:after="283"/>
              <w:jc w:val="left"/>
              <w:rPr/>
            </w:pPr>
            <w:r>
              <w:rPr/>
              <w:t> </w:t>
            </w:r>
            <w:r>
              <w:rPr/>
              <w:t>(1) </w:t>
            </w:r>
          </w:p>
        </w:tc>
      </w:tr>
      <w:tr>
        <w:trPr/>
        <w:tc>
          <w:tcPr>
            <w:tcW w:w="3049" w:type="dxa"/>
            <w:tcBorders/>
          </w:tcPr>
          <w:p>
            <w:pPr>
              <w:pStyle w:val="TableContents"/>
              <w:bidi w:val="0"/>
              <w:spacing w:before="0" w:after="0"/>
              <w:jc w:val="left"/>
              <w:rPr>
                <w:rFonts w:ascii="Times New Roman" w:hAnsi="Times New Roman"/>
                <w:sz w:val="20"/>
              </w:rPr>
            </w:pPr>
            <w:r>
              <w:rPr>
                <w:rFonts w:ascii="Times New Roman" w:hAnsi="Times New Roman"/>
                <w:sz w:val="20"/>
              </w:rPr>
              <w:t>Customer D</w:t>
            </w:r>
          </w:p>
        </w:tc>
        <w:tc>
          <w:tcPr>
            <w:tcW w:w="40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n/a</w:t>
            </w:r>
          </w:p>
        </w:tc>
        <w:tc>
          <w:tcPr>
            <w:tcW w:w="735" w:type="dxa"/>
            <w:tcBorders/>
            <w:vAlign w:val="bottom"/>
          </w:tcPr>
          <w:p>
            <w:pPr>
              <w:pStyle w:val="TableContents"/>
              <w:bidi w:val="0"/>
              <w:spacing w:before="0" w:after="283"/>
              <w:jc w:val="left"/>
              <w:rPr/>
            </w:pPr>
            <w:r>
              <w:rPr/>
              <w:t> </w:t>
            </w:r>
            <w:r>
              <w:rPr/>
              <w:t>(1) </w:t>
            </w:r>
          </w:p>
        </w:tc>
        <w:tc>
          <w:tcPr>
            <w:tcW w:w="35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12</w:t>
            </w:r>
          </w:p>
        </w:tc>
        <w:tc>
          <w:tcPr>
            <w:tcW w:w="410"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right"/>
              <w:rPr/>
            </w:pPr>
            <w:r>
              <w:rPr/>
              <w:t>10</w:t>
            </w:r>
          </w:p>
        </w:tc>
        <w:tc>
          <w:tcPr>
            <w:tcW w:w="73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14</w:t>
            </w:r>
          </w:p>
        </w:tc>
        <w:tc>
          <w:tcPr>
            <w:tcW w:w="414"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represented less than 10% of consolidated revenues in such period.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reconciles the Company’s earnings per share (in thousands, except for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49"/>
        <w:gridCol w:w="310"/>
        <w:gridCol w:w="150"/>
        <w:gridCol w:w="738"/>
        <w:gridCol w:w="60"/>
        <w:gridCol w:w="310"/>
        <w:gridCol w:w="150"/>
        <w:gridCol w:w="738"/>
        <w:gridCol w:w="60"/>
        <w:gridCol w:w="310"/>
        <w:gridCol w:w="140"/>
        <w:gridCol w:w="817"/>
        <w:gridCol w:w="60"/>
        <w:gridCol w:w="309"/>
        <w:gridCol w:w="140"/>
        <w:gridCol w:w="680"/>
        <w:gridCol w:w="67"/>
      </w:tblGrid>
      <w:tr>
        <w:trPr/>
        <w:tc>
          <w:tcPr>
            <w:tcW w:w="4349"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214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7" w:type="dxa"/>
            <w:tcBorders/>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8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3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51,926</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38,883</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126,659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83,109</w:t>
            </w:r>
          </w:p>
        </w:tc>
        <w:tc>
          <w:tcPr>
            <w:tcW w:w="67" w:type="dxa"/>
            <w:tcBorders/>
            <w:shd w:fill="CCEEFF" w:val="clear"/>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4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of common stock outstanding (1)(2)</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16,019</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17,124</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16,002</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17,087</w:t>
            </w:r>
          </w:p>
        </w:tc>
        <w:tc>
          <w:tcPr>
            <w:tcW w:w="67" w:type="dxa"/>
            <w:tcBorders/>
            <w:vAlign w:val="bottom"/>
          </w:tcPr>
          <w:p>
            <w:pPr>
              <w:pStyle w:val="TableContents"/>
              <w:bidi w:val="0"/>
              <w:spacing w:before="0" w:after="283"/>
              <w:jc w:val="left"/>
              <w:rPr/>
            </w:pPr>
            <w:r>
              <w:rPr/>
              <w:t> </w:t>
            </w:r>
          </w:p>
        </w:tc>
      </w:tr>
      <w:tr>
        <w:trPr/>
        <w:tc>
          <w:tcPr>
            <w:tcW w:w="43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Net effect of dilutive stock options, restricted stock units, and Creditor Warrants (3)(4)(5)</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2,178</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738" w:type="dxa"/>
            <w:tcBorders/>
            <w:shd w:fill="CCEEFF" w:val="clear"/>
            <w:vAlign w:val="bottom"/>
          </w:tcPr>
          <w:p>
            <w:pPr>
              <w:pStyle w:val="TableContents"/>
              <w:bidi w:val="0"/>
              <w:spacing w:before="0" w:after="283"/>
              <w:jc w:val="right"/>
              <w:rPr/>
            </w:pPr>
            <w:r>
              <w:rPr/>
              <w:t>2,248</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2,175</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2,213</w:t>
            </w:r>
          </w:p>
        </w:tc>
        <w:tc>
          <w:tcPr>
            <w:tcW w:w="67" w:type="dxa"/>
            <w:tcBorders/>
            <w:shd w:fill="CCEEFF" w:val="clear"/>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49"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dilutive shares of common stock outstanding</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18,197</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738" w:type="dxa"/>
            <w:tcBorders/>
            <w:vAlign w:val="bottom"/>
          </w:tcPr>
          <w:p>
            <w:pPr>
              <w:pStyle w:val="TableContents"/>
              <w:bidi w:val="0"/>
              <w:spacing w:before="0" w:after="283"/>
              <w:jc w:val="right"/>
              <w:rPr/>
            </w:pPr>
            <w:r>
              <w:rPr/>
              <w:t>19,372</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18,177</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19,300</w:t>
            </w:r>
          </w:p>
        </w:tc>
        <w:tc>
          <w:tcPr>
            <w:tcW w:w="67" w:type="dxa"/>
            <w:tcBorders/>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7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0"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349"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3.24</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38" w:type="dxa"/>
            <w:tcBorders/>
            <w:vAlign w:val="bottom"/>
          </w:tcPr>
          <w:p>
            <w:pPr>
              <w:pStyle w:val="TableContents"/>
              <w:bidi w:val="0"/>
              <w:spacing w:before="0" w:after="283"/>
              <w:jc w:val="right"/>
              <w:rPr/>
            </w:pPr>
            <w:r>
              <w:rPr/>
              <w:t>2.27</w:t>
            </w:r>
          </w:p>
        </w:tc>
        <w:tc>
          <w:tcPr>
            <w:tcW w:w="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7.92</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4.86</w:t>
            </w:r>
          </w:p>
        </w:tc>
        <w:tc>
          <w:tcPr>
            <w:tcW w:w="67" w:type="dxa"/>
            <w:tcBorders/>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3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2.85</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2.01</w:t>
            </w:r>
          </w:p>
        </w:tc>
        <w:tc>
          <w:tcPr>
            <w:tcW w:w="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7" w:type="dxa"/>
            <w:tcBorders/>
            <w:shd w:fill="CCEEFF" w:val="clear"/>
            <w:vAlign w:val="bottom"/>
          </w:tcPr>
          <w:p>
            <w:pPr>
              <w:pStyle w:val="TableContents"/>
              <w:bidi w:val="0"/>
              <w:spacing w:before="0" w:after="283"/>
              <w:jc w:val="right"/>
              <w:rPr/>
            </w:pPr>
            <w:r>
              <w:rPr/>
              <w:t>6.97</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4.31</w:t>
            </w:r>
          </w:p>
        </w:tc>
        <w:tc>
          <w:tcPr>
            <w:tcW w:w="67" w:type="dxa"/>
            <w:tcBorders/>
            <w:shd w:fill="CCEEFF" w:val="clear"/>
            <w:vAlign w:val="bottom"/>
          </w:tcPr>
          <w:p>
            <w:pPr>
              <w:pStyle w:val="TableContents"/>
              <w:bidi w:val="0"/>
              <w:spacing w:before="0" w:after="283"/>
              <w:jc w:val="left"/>
              <w:rPr/>
            </w:pPr>
            <w:r>
              <w:rPr/>
              <w:t> </w:t>
            </w:r>
          </w:p>
        </w:tc>
      </w:tr>
      <w:tr>
        <w:trPr/>
        <w:tc>
          <w:tcPr>
            <w:tcW w:w="4349" w:type="dxa"/>
            <w:tcBorders/>
            <w:vAlign w:val="bottom"/>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7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included 10,494 and 11,377 Jones Act Warrants in the weighted-average number of shares of common stock outstanding for the three and nine months ended September 30, 2025 and 2024, respectively, which represents the weighted-average number of Jones Act Warrants existing at each period-end.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105 fully vested, equity-settled restricted stock units that will be settled on the earlier of the occurrence of a contractually-designated event and the passage of a certain period of time for the three and nine months ended September 30, 2025 and 2024,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156 and 144 unvested restricted stock units and 619 and 619 contingently-exercisable, vested restricted stock units in the weighted average calculation for the three and nine months ended September 30, 2025, respectively, and 202 and 173 unvested restricted stock units and 619 and 619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contingently-exercisable, vested restricted stock units in the weighted average calculation for the three and nine months ended September 30, 2024,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472 dilutive unvested stock options granted under the MIP in the weighted-average calculation for the three and nine months ended September 30, 2025, respectively, and 493 and 492 dilutive unvested stock options granted under the MIP in the weighted-average calculation for the three and nine months ended September 30, 2024, respectively. Dilutive unvested stock options issued by the Company are expected to fluctuate from quarter to quarter depending on the Company’s performance compared to a predetermined set of performance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931 and 940 of in-the-money Creditor Warrants in the weighted-average calculation for the three and nine months ended September 30, 2025, respectively, and 934 and 929 of in-the-money Creditor Warrants in the weighted-average calculation for the three and nine months ended September 30, 2024,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Deferred Charges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240" w:after="0"/>
        <w:jc w:val="left"/>
        <w:rPr>
          <w:rFonts w:ascii="Times New Roman" w:hAnsi="Times New Roman"/>
          <w:sz w:val="20"/>
        </w:rPr>
      </w:pPr>
      <w:r>
        <w:rPr>
          <w:rFonts w:ascii="Times New Roman" w:hAnsi="Times New Roman"/>
          <w:sz w:val="20"/>
        </w:rPr>
        <w:t xml:space="preserve">The amounts reported for deferred charges on the consolidated balance sheets as of September 30, 2025 and December 31, 2024, include costs associated with ongoing drydockings. Included in such capital costs are accruals for vendor costs incurred but not yet invoiced and paid. These accrual amounts totaling $4.8 million and $6.3 million as of September 30, 2025 and December 31, 2024, respectively, are excluded from cash flows from operating activities on the consolidated statement of cash flows as non-cash items for the periods 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7.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53"/>
        <w:gridCol w:w="426"/>
        <w:gridCol w:w="204"/>
        <w:gridCol w:w="1309"/>
        <w:gridCol w:w="155"/>
        <w:gridCol w:w="426"/>
        <w:gridCol w:w="197"/>
        <w:gridCol w:w="1226"/>
        <w:gridCol w:w="159"/>
      </w:tblGrid>
      <w:tr>
        <w:trPr/>
        <w:tc>
          <w:tcPr>
            <w:tcW w:w="3653"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653"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5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9"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Offshore supply vessels and multi-purpose support vessels</w:t>
            </w:r>
          </w:p>
        </w:tc>
        <w:tc>
          <w:tcPr>
            <w:tcW w:w="4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309" w:type="dxa"/>
            <w:tcBorders/>
            <w:shd w:fill="CCEEFF" w:val="clear"/>
            <w:vAlign w:val="bottom"/>
          </w:tcPr>
          <w:p>
            <w:pPr>
              <w:pStyle w:val="TableContents"/>
              <w:bidi w:val="0"/>
              <w:spacing w:before="0" w:after="283"/>
              <w:jc w:val="right"/>
              <w:rPr/>
            </w:pPr>
            <w:r>
              <w:rPr/>
              <w:t>644,250</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w:t>
            </w:r>
          </w:p>
        </w:tc>
        <w:tc>
          <w:tcPr>
            <w:tcW w:w="1226" w:type="dxa"/>
            <w:tcBorders/>
            <w:shd w:fill="CCEEFF" w:val="clear"/>
            <w:vAlign w:val="bottom"/>
          </w:tcPr>
          <w:p>
            <w:pPr>
              <w:pStyle w:val="TableContents"/>
              <w:bidi w:val="0"/>
              <w:spacing w:before="0" w:after="283"/>
              <w:jc w:val="right"/>
              <w:rPr/>
            </w:pPr>
            <w:r>
              <w:rPr/>
              <w:t>627,237</w:t>
            </w:r>
          </w:p>
        </w:tc>
        <w:tc>
          <w:tcPr>
            <w:tcW w:w="159"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related property, plant and equipment</w:t>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15,315</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8,288</w:t>
            </w:r>
          </w:p>
        </w:tc>
        <w:tc>
          <w:tcPr>
            <w:tcW w:w="159"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(133,970</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(103,564</w:t>
            </w:r>
          </w:p>
        </w:tc>
        <w:tc>
          <w:tcPr>
            <w:tcW w:w="159"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525,595</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531,961</w:t>
            </w:r>
          </w:p>
        </w:tc>
        <w:tc>
          <w:tcPr>
            <w:tcW w:w="159"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 (1)</w:t>
            </w:r>
          </w:p>
        </w:tc>
        <w:tc>
          <w:tcPr>
            <w:tcW w:w="42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208,204</w:t>
            </w:r>
          </w:p>
        </w:tc>
        <w:tc>
          <w:tcPr>
            <w:tcW w:w="155"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142,768</w:t>
            </w:r>
          </w:p>
        </w:tc>
        <w:tc>
          <w:tcPr>
            <w:tcW w:w="159" w:type="dxa"/>
            <w:tcBorders/>
            <w:shd w:fill="CCEEFF" w:val="clear"/>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653" w:type="dxa"/>
            <w:tcBorders/>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733,799</w:t>
            </w:r>
          </w:p>
        </w:tc>
        <w:tc>
          <w:tcPr>
            <w:tcW w:w="155"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674,729</w:t>
            </w:r>
          </w:p>
        </w:tc>
        <w:tc>
          <w:tcPr>
            <w:tcW w:w="159" w:type="dxa"/>
            <w:tcBorders/>
            <w:vAlign w:val="bottom"/>
          </w:tcPr>
          <w:p>
            <w:pPr>
              <w:pStyle w:val="TableContents"/>
              <w:bidi w:val="0"/>
              <w:spacing w:before="0" w:after="283"/>
              <w:jc w:val="left"/>
              <w:rPr/>
            </w:pPr>
            <w:r>
              <w:rPr/>
              <w:t> </w:t>
            </w:r>
          </w:p>
        </w:tc>
      </w:tr>
      <w:tr>
        <w:trPr/>
        <w:tc>
          <w:tcPr>
            <w:tcW w:w="3653" w:type="dxa"/>
            <w:tcBorders/>
            <w:vAlign w:val="bottom"/>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97"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$6.9 million and $10.0 million of accrued accounts payable as of September 30, 2025 and December 31, 2024, respectively. These amounts were excluded from the consolidated statement of cash flows as non-cash items for the respective periods.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presents net book value of property, plant and equipment by geographic regions(1) (in thousands, except for % of Total):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373"/>
        <w:gridCol w:w="309"/>
        <w:gridCol w:w="219"/>
        <w:gridCol w:w="1280"/>
        <w:gridCol w:w="60"/>
        <w:gridCol w:w="309"/>
        <w:gridCol w:w="107"/>
        <w:gridCol w:w="1027"/>
        <w:gridCol w:w="277"/>
        <w:gridCol w:w="226"/>
        <w:gridCol w:w="210"/>
        <w:gridCol w:w="1205"/>
        <w:gridCol w:w="60"/>
        <w:gridCol w:w="309"/>
        <w:gridCol w:w="107"/>
        <w:gridCol w:w="1027"/>
        <w:gridCol w:w="283"/>
      </w:tblGrid>
      <w:tr>
        <w:trPr/>
        <w:tc>
          <w:tcPr>
            <w:tcW w:w="2373"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373"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83" w:type="dxa"/>
            <w:tcBorders/>
            <w:vAlign w:val="bottom"/>
          </w:tcPr>
          <w:p>
            <w:pPr>
              <w:pStyle w:val="TableContents"/>
              <w:bidi w:val="0"/>
              <w:spacing w:before="0" w:after="283"/>
              <w:jc w:val="left"/>
              <w:rPr/>
            </w:pPr>
            <w:r>
              <w:rPr/>
              <w:t> </w:t>
            </w:r>
          </w:p>
        </w:tc>
      </w:tr>
      <w:tr>
        <w:trPr/>
        <w:tc>
          <w:tcPr>
            <w:tcW w:w="2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658,080</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89.7</w:t>
            </w:r>
          </w:p>
        </w:tc>
        <w:tc>
          <w:tcPr>
            <w:tcW w:w="2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598,481</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88.7</w:t>
            </w:r>
          </w:p>
        </w:tc>
        <w:tc>
          <w:tcPr>
            <w:tcW w:w="283" w:type="dxa"/>
            <w:tcBorders/>
            <w:shd w:fill="CCEEFF" w:val="clear"/>
            <w:vAlign w:val="bottom"/>
          </w:tcPr>
          <w:p>
            <w:pPr>
              <w:pStyle w:val="TableContents"/>
              <w:bidi w:val="0"/>
              <w:spacing w:before="0" w:after="283"/>
              <w:jc w:val="left"/>
              <w:rPr/>
            </w:pPr>
            <w:r>
              <w:rPr/>
              <w:t>% </w:t>
            </w:r>
          </w:p>
        </w:tc>
      </w:tr>
      <w:tr>
        <w:trPr/>
        <w:tc>
          <w:tcPr>
            <w:tcW w:w="2373"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(2)</w:t>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80" w:type="dxa"/>
            <w:tcBorders/>
            <w:vAlign w:val="bottom"/>
          </w:tcPr>
          <w:p>
            <w:pPr>
              <w:pStyle w:val="TableContents"/>
              <w:bidi w:val="0"/>
              <w:spacing w:before="0" w:after="283"/>
              <w:jc w:val="right"/>
              <w:rPr/>
            </w:pPr>
            <w:r>
              <w:rPr/>
              <w:t>75,719</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10.3</w:t>
            </w:r>
          </w:p>
        </w:tc>
        <w:tc>
          <w:tcPr>
            <w:tcW w:w="277"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right"/>
              <w:rPr/>
            </w:pPr>
            <w:r>
              <w:rPr/>
              <w:t>76,248</w:t>
            </w:r>
          </w:p>
        </w:tc>
        <w:tc>
          <w:tcPr>
            <w:tcW w:w="60"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11.3</w:t>
            </w:r>
          </w:p>
        </w:tc>
        <w:tc>
          <w:tcPr>
            <w:tcW w:w="283" w:type="dxa"/>
            <w:tcBorders/>
            <w:vAlign w:val="bottom"/>
          </w:tcPr>
          <w:p>
            <w:pPr>
              <w:pStyle w:val="TableContents"/>
              <w:bidi w:val="0"/>
              <w:spacing w:before="0" w:after="283"/>
              <w:jc w:val="left"/>
              <w:rPr/>
            </w:pPr>
            <w:r>
              <w:rPr/>
              <w:t>% </w:t>
            </w:r>
          </w:p>
        </w:tc>
      </w:tr>
      <w:tr>
        <w:trPr/>
        <w:tc>
          <w:tcPr>
            <w:tcW w:w="237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27"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373" w:type="dxa"/>
            <w:tcBorders/>
            <w:shd w:fill="CCEEFF" w:val="clear"/>
          </w:tcPr>
          <w:p>
            <w:pPr>
              <w:pStyle w:val="TableContents"/>
              <w:bidi w:val="0"/>
              <w:spacing w:before="0" w:after="283"/>
              <w:jc w:val="left"/>
              <w:rPr>
                <w:sz w:val="4"/>
                <w:szCs w:val="4"/>
              </w:rPr>
            </w:pPr>
            <w:r>
              <w:rPr>
                <w:sz w:val="4"/>
                <w:szCs w:val="4"/>
              </w:rPr>
            </w:r>
          </w:p>
        </w:tc>
        <w:tc>
          <w:tcPr>
            <w:tcW w:w="309"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733,799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100.0</w:t>
            </w:r>
          </w:p>
        </w:tc>
        <w:tc>
          <w:tcPr>
            <w:tcW w:w="277"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05" w:type="dxa"/>
            <w:tcBorders/>
            <w:shd w:fill="CCEEFF" w:val="clear"/>
            <w:vAlign w:val="bottom"/>
          </w:tcPr>
          <w:p>
            <w:pPr>
              <w:pStyle w:val="TableContents"/>
              <w:bidi w:val="0"/>
              <w:spacing w:before="0" w:after="283"/>
              <w:jc w:val="right"/>
              <w:rPr/>
            </w:pPr>
            <w:r>
              <w:rPr/>
              <w:t>674,729</w:t>
            </w:r>
          </w:p>
        </w:tc>
        <w:tc>
          <w:tcPr>
            <w:tcW w:w="60"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100.0</w:t>
            </w:r>
          </w:p>
        </w:tc>
        <w:tc>
          <w:tcPr>
            <w:tcW w:w="283" w:type="dxa"/>
            <w:tcBorders/>
            <w:shd w:fill="CCEEFF" w:val="clear"/>
            <w:vAlign w:val="bottom"/>
          </w:tcPr>
          <w:p>
            <w:pPr>
              <w:pStyle w:val="TableContents"/>
              <w:bidi w:val="0"/>
              <w:spacing w:before="0" w:after="283"/>
              <w:jc w:val="left"/>
              <w:rPr/>
            </w:pPr>
            <w:r>
              <w:rPr/>
              <w:t>% </w:t>
            </w:r>
          </w:p>
        </w:tc>
      </w:tr>
      <w:tr>
        <w:trPr/>
        <w:tc>
          <w:tcPr>
            <w:tcW w:w="2373"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27"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property, plant and equipment of $66.2 million and $68.7 million were owned by certain Mexican subsidiaries of the Company as of September 30, 2025 and December 31, 2024, respectively. Property, plant and equipment attributed to other countries were not individually material as of any of the dates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8. Long-Term Debt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dates indicated below, the Company had the following outstanding long-term debt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78"/>
        <w:gridCol w:w="455"/>
        <w:gridCol w:w="221"/>
        <w:gridCol w:w="1325"/>
        <w:gridCol w:w="60"/>
        <w:gridCol w:w="455"/>
        <w:gridCol w:w="213"/>
        <w:gridCol w:w="1284"/>
        <w:gridCol w:w="64"/>
      </w:tblGrid>
      <w:tr>
        <w:trPr/>
        <w:tc>
          <w:tcPr>
            <w:tcW w:w="3678"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78"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5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4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4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678"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 net of original issue discount of $6,044 and $6,750 and deferred financing costs of $1,968 and $2,019, respectively</w:t>
            </w:r>
          </w:p>
        </w:tc>
        <w:tc>
          <w:tcPr>
            <w:tcW w:w="45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325" w:type="dxa"/>
            <w:tcBorders/>
            <w:vAlign w:val="bottom"/>
          </w:tcPr>
          <w:p>
            <w:pPr>
              <w:pStyle w:val="TableContents"/>
              <w:bidi w:val="0"/>
              <w:spacing w:before="0" w:after="283"/>
              <w:jc w:val="right"/>
              <w:rPr/>
            </w:pPr>
            <w:r>
              <w:rPr/>
              <w:t>440,314</w:t>
            </w:r>
          </w:p>
        </w:tc>
        <w:tc>
          <w:tcPr>
            <w:tcW w:w="6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84" w:type="dxa"/>
            <w:tcBorders/>
            <w:vAlign w:val="bottom"/>
          </w:tcPr>
          <w:p>
            <w:pPr>
              <w:pStyle w:val="TableContents"/>
              <w:bidi w:val="0"/>
              <w:spacing w:before="0" w:after="283"/>
              <w:jc w:val="right"/>
              <w:rPr/>
            </w:pPr>
            <w:r>
              <w:rPr/>
              <w:t>441,231</w:t>
            </w:r>
          </w:p>
        </w:tc>
        <w:tc>
          <w:tcPr>
            <w:tcW w:w="64" w:type="dxa"/>
            <w:tcBorders/>
            <w:vAlign w:val="bottom"/>
          </w:tcPr>
          <w:p>
            <w:pPr>
              <w:pStyle w:val="TableContents"/>
              <w:bidi w:val="0"/>
              <w:spacing w:before="0" w:after="283"/>
              <w:jc w:val="left"/>
              <w:rPr/>
            </w:pPr>
            <w:r>
              <w:rPr/>
              <w:t> </w:t>
            </w:r>
          </w:p>
        </w:tc>
      </w:tr>
      <w:tr>
        <w:trPr/>
        <w:tc>
          <w:tcPr>
            <w:tcW w:w="367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3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28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78" w:type="dxa"/>
            <w:tcBorders/>
            <w:shd w:fill="CCEEFF" w:val="clear"/>
          </w:tcPr>
          <w:p>
            <w:pPr>
              <w:pStyle w:val="TableContents"/>
              <w:bidi w:val="0"/>
              <w:spacing w:before="0" w:after="283"/>
              <w:jc w:val="left"/>
              <w:rPr>
                <w:sz w:val="4"/>
                <w:szCs w:val="4"/>
              </w:rPr>
            </w:pPr>
            <w:r>
              <w:rPr>
                <w:sz w:val="4"/>
                <w:szCs w:val="4"/>
              </w:rPr>
            </w:r>
          </w:p>
        </w:tc>
        <w:tc>
          <w:tcPr>
            <w:tcW w:w="45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325" w:type="dxa"/>
            <w:tcBorders/>
            <w:shd w:fill="CCEEFF" w:val="clear"/>
            <w:vAlign w:val="bottom"/>
          </w:tcPr>
          <w:p>
            <w:pPr>
              <w:pStyle w:val="TableContents"/>
              <w:bidi w:val="0"/>
              <w:spacing w:before="0" w:after="283"/>
              <w:jc w:val="right"/>
              <w:rPr/>
            </w:pPr>
            <w:r>
              <w:rPr/>
              <w:t>440,314</w:t>
            </w:r>
          </w:p>
        </w:tc>
        <w:tc>
          <w:tcPr>
            <w:tcW w:w="6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284" w:type="dxa"/>
            <w:tcBorders/>
            <w:shd w:fill="CCEEFF" w:val="clear"/>
            <w:vAlign w:val="bottom"/>
          </w:tcPr>
          <w:p>
            <w:pPr>
              <w:pStyle w:val="TableContents"/>
              <w:bidi w:val="0"/>
              <w:spacing w:before="0" w:after="283"/>
              <w:jc w:val="right"/>
              <w:rPr/>
            </w:pPr>
            <w:r>
              <w:rPr/>
              <w:t>441,231</w:t>
            </w:r>
          </w:p>
        </w:tc>
        <w:tc>
          <w:tcPr>
            <w:tcW w:w="64" w:type="dxa"/>
            <w:tcBorders/>
            <w:shd w:fill="CCEEFF" w:val="clear"/>
            <w:vAlign w:val="bottom"/>
          </w:tcPr>
          <w:p>
            <w:pPr>
              <w:pStyle w:val="TableContents"/>
              <w:bidi w:val="0"/>
              <w:spacing w:before="0" w:after="283"/>
              <w:jc w:val="left"/>
              <w:rPr/>
            </w:pPr>
            <w:r>
              <w:rPr/>
              <w:t> </w:t>
            </w:r>
          </w:p>
        </w:tc>
      </w:tr>
      <w:tr>
        <w:trPr/>
        <w:tc>
          <w:tcPr>
            <w:tcW w:w="3678"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3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28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Company’s cash interest payments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50"/>
        <w:gridCol w:w="203"/>
        <w:gridCol w:w="277"/>
        <w:gridCol w:w="1114"/>
        <w:gridCol w:w="60"/>
        <w:gridCol w:w="203"/>
        <w:gridCol w:w="4781"/>
      </w:tblGrid>
      <w:tr>
        <w:trPr/>
        <w:tc>
          <w:tcPr>
            <w:tcW w:w="275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81"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Interest</w:t>
              <w:br/>
              <w:t>Payments (1)</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7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Payment Dates</w:t>
            </w:r>
          </w:p>
        </w:tc>
      </w:tr>
      <w:tr>
        <w:trPr/>
        <w:tc>
          <w:tcPr>
            <w:tcW w:w="27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203"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4781" w:type="dxa"/>
            <w:tcBorders/>
            <w:shd w:fill="CCEEFF" w:val="clear"/>
            <w:vAlign w:val="bottom"/>
          </w:tcPr>
          <w:p>
            <w:pPr>
              <w:pStyle w:val="TableContents"/>
              <w:bidi w:val="0"/>
              <w:spacing w:before="0" w:after="283"/>
              <w:jc w:val="left"/>
              <w:rPr/>
            </w:pPr>
            <w:r>
              <w:rPr/>
              <w:t>Variable (determined on date of draw)</w:t>
            </w:r>
          </w:p>
        </w:tc>
      </w:tr>
      <w:tr>
        <w:trPr/>
        <w:tc>
          <w:tcPr>
            <w:tcW w:w="2750"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w:t>
            </w:r>
          </w:p>
        </w:tc>
        <w:tc>
          <w:tcPr>
            <w:tcW w:w="203"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3,456</w:t>
            </w:r>
          </w:p>
        </w:tc>
        <w:tc>
          <w:tcPr>
            <w:tcW w:w="6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4781" w:type="dxa"/>
            <w:tcBorders/>
            <w:vAlign w:val="bottom"/>
          </w:tcPr>
          <w:p>
            <w:pPr>
              <w:pStyle w:val="TableContents"/>
              <w:bidi w:val="0"/>
              <w:spacing w:before="0" w:after="283"/>
              <w:jc w:val="left"/>
              <w:rPr/>
            </w:pPr>
            <w:r>
              <w:rPr/>
              <w:t>First day of each month</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September 30, 2025, there were no revolving loan amounts outstanding under the First Lien Revolving Credit Facility. The First Lien Revolving Credit Facility is subject to an unused fee of 1.0% per annum, paid quarterly, as applicable.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First Lien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undrawn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incurred $2.9 million in deferred financing costs paid to third parties related to the First Lien Revolving Credit Facility, which were recorded in deferred charges on the consolidated balance sheet. As of September 30, 2025, there were no amounts outstanding under the First Lien Revolving Credit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 Lien Term Loans due 2033 </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guaranteed by certain of the Company’s domestic and foreign subsidiaries and are secured by a second priority security interest in, and lien on, all the Company’s U.S.-flagged vessels. The credit agreement contains customary representations and warranties, covenants and events of default, but only one financial maintenance covenant, which is a $25.0 million minimum cash liquidity requirement. </w:t>
      </w:r>
    </w:p>
    <w:p>
      <w:pPr>
        <w:pStyle w:val="TextBody"/>
        <w:bidi w:val="0"/>
        <w:spacing w:before="240" w:after="0"/>
        <w:jc w:val="left"/>
        <w:rPr>
          <w:rFonts w:ascii="Times New Roman" w:hAnsi="Times New Roman"/>
          <w:sz w:val="20"/>
        </w:rPr>
      </w:pPr>
      <w:r>
        <w:rPr>
          <w:rFonts w:ascii="Times New Roman" w:hAnsi="Times New Roman"/>
          <w:sz w:val="20"/>
        </w:rPr>
        <w:t xml:space="preserve">In May 2025, as a result of the sale of one U.S.-flagged vessel, the Company elected to make a $1.7 million principal payment, including related fees, on the Second Lien Term Loans due 2033, in lieu of adding a replacement vessel as collateral. </w:t>
      </w:r>
    </w:p>
    <w:p>
      <w:pPr>
        <w:pStyle w:val="TextBody"/>
        <w:bidi w:val="0"/>
        <w:spacing w:before="360" w:after="0"/>
        <w:jc w:val="left"/>
        <w:rPr>
          <w:rFonts w:ascii="Times New Roman" w:hAnsi="Times New Roman"/>
          <w:b/>
          <w:sz w:val="20"/>
        </w:rPr>
      </w:pPr>
      <w:r>
        <w:rPr>
          <w:rFonts w:ascii="Times New Roman" w:hAnsi="Times New Roman"/>
          <w:b/>
          <w:sz w:val="20"/>
        </w:rPr>
        <w:t xml:space="preserve">9. Liability-Classified Warrants </w:t>
      </w:r>
    </w:p>
    <w:p>
      <w:pPr>
        <w:pStyle w:val="TextBody"/>
        <w:bidi w:val="0"/>
        <w:spacing w:before="120" w:after="0"/>
        <w:jc w:val="left"/>
        <w:rPr>
          <w:rFonts w:ascii="Times New Roman" w:hAnsi="Times New Roman"/>
          <w:sz w:val="20"/>
        </w:rPr>
      </w:pPr>
      <w:r>
        <w:rPr>
          <w:rFonts w:ascii="Times New Roman" w:hAnsi="Times New Roman"/>
          <w:sz w:val="20"/>
        </w:rPr>
        <w:t xml:space="preserve">Upon issuance on September 4, 2020, the Company’s outstanding Creditor Warrants were accounted for as liabilities due to certain anti-dilution provisions in the Creditor Warrant Agreement, which indexed the warrants to other equity-linked instruments requiring their classification as a liability pursuant to ASC 815, Derivatives and Hedging. On December 10, 2024, the Creditor Warrant Agreement was amended to remove such anti-dilution provisions. As a result, the Creditor Warrants are effectively indexed to the Company’s common stock and are thus accounted for as stockholders’ equity since the effective date of the amendment. Accordingly, the Company reclassified the then-current fair value of the Creditor Warrants, or $70.1 million, from long-term liabilities to additional paid-in-capital on December 10, 2024. </w:t>
      </w:r>
    </w:p>
    <w:p>
      <w:pPr>
        <w:pStyle w:val="TextBody"/>
        <w:bidi w:val="0"/>
        <w:spacing w:before="240" w:after="0"/>
        <w:jc w:val="left"/>
        <w:rPr>
          <w:rFonts w:ascii="Times New Roman" w:hAnsi="Times New Roman"/>
          <w:sz w:val="20"/>
        </w:rPr>
      </w:pPr>
      <w:r>
        <w:rPr>
          <w:rFonts w:ascii="Times New Roman" w:hAnsi="Times New Roman"/>
          <w:sz w:val="20"/>
        </w:rPr>
        <w:t xml:space="preserve">Warrants that were previously classified as liabilities were recorded at their estimated fair value on a recurring basis at each balance sheet date. To estimate the fair value of the Creditor Warrants, the Company, assisted by third-party valuation advisors, used a Black-Scholes model that utilized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estimated the fair value of the underlying common stock using the income approach and the market approach with each equally weighted. The income approach involved the use of various judgmental assumptions including the use of prospective financial information, the weighted average cost of capital and an exit multiple. The fair value of the Creditor Warrants fell within Level 3 of the fair value hierarchy, as there was no active trading market and certain inputs of the Black-Scholes model are not observable or corroborated by available market data. Based on the lack of trading history of our privately-held equity, the Company considered the estimated fair value of its common stock to be the most critical assumption in the determination of the fair value of the Creditor Warrants. </w:t>
      </w:r>
    </w:p>
    <w:p>
      <w:pPr>
        <w:pStyle w:val="TextBody"/>
        <w:bidi w:val="0"/>
        <w:spacing w:before="240" w:after="0"/>
        <w:jc w:val="left"/>
        <w:rPr>
          <w:rFonts w:ascii="Times New Roman" w:hAnsi="Times New Roman"/>
          <w:sz w:val="20"/>
        </w:rPr>
      </w:pPr>
      <w:r>
        <w:rPr>
          <w:rFonts w:ascii="Times New Roman" w:hAnsi="Times New Roman"/>
          <w:sz w:val="20"/>
        </w:rPr>
        <w:t xml:space="preserve">There were no exercises of Creditor Warrants during the three and nine months ended September 30, 2025 or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10.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September 30, 2025, there were 0.3 million shares issued or redeemed, 1.5 million shares reserved for issuance related to granted awards and 0.4 million shares available for future grants to eligible individuals under the MIP. </w:t>
      </w:r>
    </w:p>
    <w:p>
      <w:pPr>
        <w:pStyle w:val="TextBody"/>
        <w:bidi w:val="0"/>
        <w:spacing w:before="240" w:after="0"/>
        <w:jc w:val="left"/>
        <w:rPr>
          <w:rFonts w:ascii="Times New Roman" w:hAnsi="Times New Roman"/>
          <w:sz w:val="20"/>
        </w:rPr>
      </w:pPr>
      <w:r>
        <w:rPr>
          <w:rFonts w:ascii="Times New Roman" w:hAnsi="Times New Roman"/>
          <w:sz w:val="20"/>
        </w:rPr>
        <w:t xml:space="preserve">In April 2025, the Company issued 0.1 million restricted stock units and 0.1 million stock options pursuant to the MIP and recorded $0.7 million and $1.9 million of associated stock-based compensation expense for the three and nine months ended September 30, 2025, respectively. The Company recorded $0.7 million of stock-based compensation expense for the three and nine months ended September 30, 2024 related to restricted stock units issued in April 2024.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impact of stock-based compensation expense related to the MIP on the Company’s operating results is reflected in the table below (in thousands, except for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298"/>
        <w:gridCol w:w="326"/>
        <w:gridCol w:w="195"/>
        <w:gridCol w:w="789"/>
        <w:gridCol w:w="83"/>
        <w:gridCol w:w="363"/>
        <w:gridCol w:w="195"/>
        <w:gridCol w:w="792"/>
        <w:gridCol w:w="60"/>
        <w:gridCol w:w="326"/>
        <w:gridCol w:w="140"/>
        <w:gridCol w:w="614"/>
        <w:gridCol w:w="60"/>
        <w:gridCol w:w="326"/>
        <w:gridCol w:w="140"/>
        <w:gridCol w:w="614"/>
        <w:gridCol w:w="67"/>
      </w:tblGrid>
      <w:tr>
        <w:trPr/>
        <w:tc>
          <w:tcPr>
            <w:tcW w:w="4298"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9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24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September 30,</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8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7" w:type="dxa"/>
            <w:tcBorders/>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3"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7" w:type="dxa"/>
            <w:tcBorders/>
            <w:vAlign w:val="bottom"/>
          </w:tcPr>
          <w:p>
            <w:pPr>
              <w:pStyle w:val="TableContents"/>
              <w:bidi w:val="0"/>
              <w:spacing w:before="0" w:after="283"/>
              <w:jc w:val="left"/>
              <w:rPr/>
            </w:pPr>
            <w:r>
              <w:rPr/>
              <w:t> </w:t>
            </w:r>
          </w:p>
        </w:tc>
      </w:tr>
      <w:tr>
        <w:trPr/>
        <w:tc>
          <w:tcPr>
            <w:tcW w:w="4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taxes</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9" w:type="dxa"/>
            <w:tcBorders/>
            <w:shd w:fill="CCEEFF" w:val="clear"/>
            <w:vAlign w:val="bottom"/>
          </w:tcPr>
          <w:p>
            <w:pPr>
              <w:pStyle w:val="TableContents"/>
              <w:bidi w:val="0"/>
              <w:spacing w:before="0" w:after="283"/>
              <w:jc w:val="right"/>
              <w:rPr/>
            </w:pPr>
            <w:r>
              <w:rPr/>
              <w:t>1,737</w:t>
            </w:r>
          </w:p>
        </w:tc>
        <w:tc>
          <w:tcPr>
            <w:tcW w:w="83"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1,828</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5,190</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6,251</w:t>
            </w:r>
          </w:p>
        </w:tc>
        <w:tc>
          <w:tcPr>
            <w:tcW w:w="67" w:type="dxa"/>
            <w:tcBorders/>
            <w:shd w:fill="CCEEFF" w:val="clear"/>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79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14"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89" w:type="dxa"/>
            <w:tcBorders/>
            <w:vAlign w:val="bottom"/>
          </w:tcPr>
          <w:p>
            <w:pPr>
              <w:pStyle w:val="TableContents"/>
              <w:bidi w:val="0"/>
              <w:spacing w:before="0" w:after="283"/>
              <w:jc w:val="right"/>
              <w:rPr/>
            </w:pPr>
            <w:r>
              <w:rPr/>
              <w:t>1,669</w:t>
            </w:r>
          </w:p>
        </w:tc>
        <w:tc>
          <w:tcPr>
            <w:tcW w:w="83"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92" w:type="dxa"/>
            <w:tcBorders/>
            <w:vAlign w:val="bottom"/>
          </w:tcPr>
          <w:p>
            <w:pPr>
              <w:pStyle w:val="TableContents"/>
              <w:bidi w:val="0"/>
              <w:spacing w:before="0" w:after="283"/>
              <w:jc w:val="right"/>
              <w:rPr/>
            </w:pPr>
            <w:r>
              <w:rPr/>
              <w:t>1,645</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4,866</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5,734</w:t>
            </w:r>
          </w:p>
        </w:tc>
        <w:tc>
          <w:tcPr>
            <w:tcW w:w="67" w:type="dxa"/>
            <w:tcBorders/>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789"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36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79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14"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429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89" w:type="dxa"/>
            <w:tcBorders/>
            <w:vAlign w:val="bottom"/>
          </w:tcPr>
          <w:p>
            <w:pPr>
              <w:pStyle w:val="TableContents"/>
              <w:bidi w:val="0"/>
              <w:spacing w:before="0" w:after="283"/>
              <w:jc w:val="right"/>
              <w:rPr/>
            </w:pPr>
            <w:r>
              <w:rPr/>
              <w:t>0.10</w:t>
            </w:r>
          </w:p>
        </w:tc>
        <w:tc>
          <w:tcPr>
            <w:tcW w:w="83"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792" w:type="dxa"/>
            <w:tcBorders/>
            <w:vAlign w:val="bottom"/>
          </w:tcPr>
          <w:p>
            <w:pPr>
              <w:pStyle w:val="TableContents"/>
              <w:bidi w:val="0"/>
              <w:spacing w:before="0" w:after="283"/>
              <w:jc w:val="right"/>
              <w:rPr/>
            </w:pPr>
            <w:r>
              <w:rPr/>
              <w:t>0.10</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0.30</w:t>
            </w:r>
          </w:p>
        </w:tc>
        <w:tc>
          <w:tcPr>
            <w:tcW w:w="6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14" w:type="dxa"/>
            <w:tcBorders/>
            <w:vAlign w:val="bottom"/>
          </w:tcPr>
          <w:p>
            <w:pPr>
              <w:pStyle w:val="TableContents"/>
              <w:bidi w:val="0"/>
              <w:spacing w:before="0" w:after="283"/>
              <w:jc w:val="right"/>
              <w:rPr/>
            </w:pPr>
            <w:r>
              <w:rPr/>
              <w:t>0.34</w:t>
            </w:r>
          </w:p>
        </w:tc>
        <w:tc>
          <w:tcPr>
            <w:tcW w:w="67" w:type="dxa"/>
            <w:tcBorders/>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26"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89" w:type="dxa"/>
            <w:tcBorders/>
            <w:shd w:fill="CCEEFF" w:val="clear"/>
            <w:vAlign w:val="bottom"/>
          </w:tcPr>
          <w:p>
            <w:pPr>
              <w:pStyle w:val="TableContents"/>
              <w:bidi w:val="0"/>
              <w:spacing w:before="0" w:after="283"/>
              <w:jc w:val="right"/>
              <w:rPr/>
            </w:pPr>
            <w:r>
              <w:rPr/>
              <w:t>0.09</w:t>
            </w:r>
          </w:p>
        </w:tc>
        <w:tc>
          <w:tcPr>
            <w:tcW w:w="83"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792" w:type="dxa"/>
            <w:tcBorders/>
            <w:shd w:fill="CCEEFF" w:val="clear"/>
            <w:vAlign w:val="bottom"/>
          </w:tcPr>
          <w:p>
            <w:pPr>
              <w:pStyle w:val="TableContents"/>
              <w:bidi w:val="0"/>
              <w:spacing w:before="0" w:after="283"/>
              <w:jc w:val="right"/>
              <w:rPr/>
            </w:pPr>
            <w:r>
              <w:rPr/>
              <w:t>0.08</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0.27</w:t>
            </w:r>
          </w:p>
        </w:tc>
        <w:tc>
          <w:tcPr>
            <w:tcW w:w="6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14" w:type="dxa"/>
            <w:tcBorders/>
            <w:shd w:fill="CCEEFF" w:val="clear"/>
            <w:vAlign w:val="bottom"/>
          </w:tcPr>
          <w:p>
            <w:pPr>
              <w:pStyle w:val="TableContents"/>
              <w:bidi w:val="0"/>
              <w:spacing w:before="0" w:after="283"/>
              <w:jc w:val="right"/>
              <w:rPr/>
            </w:pPr>
            <w:r>
              <w:rPr/>
              <w:t>0.30</w:t>
            </w:r>
          </w:p>
        </w:tc>
        <w:tc>
          <w:tcPr>
            <w:tcW w:w="67" w:type="dxa"/>
            <w:tcBorders/>
            <w:shd w:fill="CCEEFF" w:val="clear"/>
            <w:vAlign w:val="bottom"/>
          </w:tcPr>
          <w:p>
            <w:pPr>
              <w:pStyle w:val="TableContents"/>
              <w:bidi w:val="0"/>
              <w:spacing w:before="0" w:after="283"/>
              <w:jc w:val="left"/>
              <w:rPr/>
            </w:pPr>
            <w:r>
              <w:rPr/>
              <w:t> </w:t>
            </w:r>
          </w:p>
        </w:tc>
      </w:tr>
      <w:tr>
        <w:trPr/>
        <w:tc>
          <w:tcPr>
            <w:tcW w:w="4298"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89" w:type="dxa"/>
            <w:tcBorders/>
            <w:vAlign w:val="bottom"/>
          </w:tcPr>
          <w:p>
            <w:pPr>
              <w:pStyle w:val="TableContents"/>
              <w:pBdr>
                <w:top w:val="double" w:sz="6" w:space="1" w:color="000000"/>
              </w:pBdr>
              <w:bidi w:val="0"/>
              <w:spacing w:before="0" w:after="0"/>
              <w:jc w:val="left"/>
              <w:rPr/>
            </w:pPr>
            <w:r>
              <w:rPr/>
              <w:t> </w:t>
            </w:r>
          </w:p>
        </w:tc>
        <w:tc>
          <w:tcPr>
            <w:tcW w:w="83"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79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14"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$0.0 million and $0.2 million of stock-based compensation expense related to restricted stock awards redeemable in cash to other accrued liabilities on the consolidated balance sheet during the nine months ended September 30, 2025 and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11.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effective income tax expense rate for the nine months ended September 30, 2025 and 2024 was 6.2% and 8.3%, respectively. The Company’s current income tax expense reflects its current U.S. and foreign tax liabilities and certain deferred tax liabilities that could not be offset with a reduction in the valuation allowance. The Company’s effective tax rate differs from the federal statutory rate primarily due to foreign taxes and the reversal of valuation allowance for certain deferred tax assets.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 longer subject to tax audits being initiated by U.S. federal, state, local or foreign taxing authorities for years prior to 2020. The Company has ongoing examinations by various foreign tax authorities for earlier periods, but does not believe that the results of these examinations will have a material adverse effect on the Company’s financial position or results of operations. Please see Note 12 below for further discussion regarding the relevant ongoing foreign tax examinations. </w:t>
      </w:r>
    </w:p>
    <w:p>
      <w:pPr>
        <w:pStyle w:val="TextBody"/>
        <w:bidi w:val="0"/>
        <w:spacing w:before="240" w:after="0"/>
        <w:jc w:val="left"/>
        <w:rPr>
          <w:rFonts w:ascii="Times New Roman" w:hAnsi="Times New Roman"/>
          <w:sz w:val="20"/>
        </w:rPr>
      </w:pPr>
      <w:r>
        <w:rPr>
          <w:rFonts w:ascii="Times New Roman" w:hAnsi="Times New Roman"/>
          <w:sz w:val="20"/>
        </w:rPr>
        <w:t xml:space="preserve">On July 4, 2025, the One Big Beautiful Bill Act was signed into U.S. law. The most significant tax law changes resulting from the passage of the act that may have an impact on the Company relate to depreciation allowances for certain property, deduction of U.S. research and experimental expenditures, and changes to adjusted taxable income for purposes of the business interest deduction. The impact of the tax law changes and the deferred tax rate is required to be reflected in the reporting period in which the law is enacted. Accordingly, the Company has evaluated the effects of these law changes on its current and deferred taxes and has reflected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resulting impact on its financial position and results from operations, which resulted in a $0.9 million tax expense recorded as a discrete item for the quarter ended September 30, 2025. </w:t>
      </w:r>
    </w:p>
    <w:p>
      <w:pPr>
        <w:pStyle w:val="TextBody"/>
        <w:bidi w:val="0"/>
        <w:spacing w:before="360" w:after="0"/>
        <w:jc w:val="left"/>
        <w:rPr>
          <w:rFonts w:ascii="Times New Roman" w:hAnsi="Times New Roman"/>
          <w:b/>
          <w:sz w:val="20"/>
        </w:rPr>
      </w:pPr>
      <w:r>
        <w:rPr>
          <w:rFonts w:ascii="Times New Roman" w:hAnsi="Times New Roman"/>
          <w:b/>
          <w:sz w:val="20"/>
        </w:rPr>
        <w:t xml:space="preserve">12.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Vessel Construction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was obligated to pay only the remaining portion of the original shipyard contract price for the two MPSVs, which then-amounted to $53.8 million in the aggregate on the settlement date, but was subsequently reduced to $42.6 million for liquidated damages resulting from shipyard delays. The Surety is required to cure all defaults of Gulf Island and pay all completion costs in excess of the $42.6 million remaining original contract price, excluding any approved change orders arising after the settlement date. There is no cap on the Surety’s completion costs. As of September 30, 2025, the Company has fulfilled its $42.6 million contractual obligation and all remaining construction costs are to be paid by the Surety to Eastern. </w:t>
      </w:r>
    </w:p>
    <w:p>
      <w:pPr>
        <w:pStyle w:val="TextBody"/>
        <w:bidi w:val="0"/>
        <w:spacing w:before="240" w:after="0"/>
        <w:jc w:val="left"/>
        <w:rPr>
          <w:rFonts w:ascii="Times New Roman" w:hAnsi="Times New Roman"/>
          <w:sz w:val="20"/>
        </w:rPr>
      </w:pPr>
      <w:r>
        <w:rPr>
          <w:rFonts w:ascii="Times New Roman" w:hAnsi="Times New Roman"/>
          <w:sz w:val="20"/>
        </w:rPr>
        <w:t xml:space="preserve">Following physical delivery by Eastern, each vessel will undergo crane and other system installations, and both vessels are expected to be available for commercial service during 2027. In addition to the previously paid $42.6 million contractual obligation, the Company expects to incur an additional $87.1 million in the aggregate for outfitting, engineering, overhead and the post-delivery discretionary enhancements, of which $59.6 million solely relates to the purchase and installation of the cranes. As of September 30, 2025, the Company had incurred $21.9 million of such incremental amounts, excluding capitalized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$0.3 million and $0.7 million for potential insurance deductibles or losses associated with such claims as of September 30, 2025 and December 31,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Mexico Tax Audits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audit by various Mexican statutory bodies, including the Mexican tax authorities, or SAT. In recent years, SAT has initiated several audits of the Company’s Mexican subsidiaries for tax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between 2015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subsequently initiated an appeal process through the Mexican tax judicial system in June 2022. In April 2024, the Company initiated a separate non-binding mediation related to a Mexican subsidiary’s tax returns from 2017 through 2021, which concluded in February 2025 without resolution and resulted in an additional assessment by SAT in July 2025. The Company filed an administrative appeal of the assessment as we believe SAT has attempted to retroactively apply a change in Mexican tax law that did not become effective until 2022, subsequent to the tax periods that are being assessed. In September 2025, the Company received additional tax assessments for another Mexican subsidiary related to tax returns from 2018 and 2020 with similarly egregious positions as previously asserted by SAT. The Company immediately filed administrative appeals for both assessments in October 2025.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the Company had accrued a liability totaling $2.7 million for potential losses from additional taxes, interest and penalties resulting from the 2015 tax assessment and no liabilities for the 2017 through 2021 assessments based upon estimates developed in collaboration with its Mexican tax advisors for the ongoing audits and appeals. The Company believes it has properly applied the applicable tax laws for all periods audited by SAT and has reasonably supported its positions. The ultimate impact resulting from the tax assessments and appeal process and other ongoing tax audits may materially differ from the current estimates. An adverse final outcome in any of the pending appeals could have a material impact on the Company’s results. The Company will continue to update its estimates related to these pending proceedings as new information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Brazil Importation Tax Assessment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2021, the Company received notification from the Brazilian tax authorities of an importation tax assessment against the HOS Achiever with respect to the vessel’s services contract in Brazil from February 2019 to January 2020. At the time of the HOS Achiever’s importation, the Company was granted a statutorily available tax exemption based on the vessel’s functional capabilities and intended use under the services contract. The tax authorities are now asserting that the HOS Achiever does not qualify for the applicable exemption. The Company believes the HOS Achiever does, in fact, meet the criteria set forth under the applicable law and intends to defend its position in a Brazilian court. While the final outcome of this assessment is uncertain and could possibly result in the payment and loss of an estimated $6.0 million to $12.0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w:t>
      </w:r>
    </w:p>
    <w:p>
      <w:pPr>
        <w:pStyle w:val="TextBody"/>
        <w:bidi w:val="0"/>
        <w:spacing w:before="360" w:after="0"/>
        <w:jc w:val="left"/>
        <w:rPr>
          <w:rFonts w:ascii="Times New Roman" w:hAnsi="Times New Roman"/>
          <w:b/>
          <w:sz w:val="20"/>
        </w:rPr>
      </w:pPr>
      <w:r>
        <w:rPr>
          <w:rFonts w:ascii="Times New Roman" w:hAnsi="Times New Roman"/>
          <w:b/>
          <w:sz w:val="20"/>
        </w:rPr>
        <w:t xml:space="preserve">13. Reportable Segment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end-customer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any particular vessel to any specific geographic region or customer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periods ended September 30, 2025 and 2024. The measure of segment assets is reported on the consolidated balance sheet as total assets as of September 30, 2025 and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60" w:after="0"/>
        <w:jc w:val="left"/>
        <w:rPr>
          <w:rFonts w:ascii="Times New Roman" w:hAnsi="Times New Roman"/>
          <w:b/>
          <w:sz w:val="20"/>
        </w:rPr>
      </w:pPr>
      <w:r>
        <w:rPr>
          <w:rFonts w:ascii="Times New Roman" w:hAnsi="Times New Roman"/>
          <w:b/>
          <w:sz w:val="20"/>
        </w:rPr>
        <w:t xml:space="preserve">14.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Trade Name and Trademark License Agreement entered into by and between the Company and HFR, LLC, the Company made payments of $1.8 million during each of the nine months ended September 30, 2025 and 2024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September 30, 2025 and December 31, 2024, the Company had accrued amounts payable to HFR, LLC totaling $1.0 million and $1.3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On October 1, 2022, a member of the Company’s Board of Directors assumed an officer role with an existing Hornbeck customer. For the nine months ended September 30, 2025 and 2024, the Company generated $52.1 million, or 9.6%, and $66.6 million, or 13.9%, of revenues, respectively, from contracts with such customer. The Company had outstanding accounts receivable from this customer totaling $11.0 million and $9.4 million as of September 30, 2025 and December 31,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15.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all subsequent events through November 7, 2025, which represents the date its financial statements were available to be issued and determined that all materially relevant information known through this date has been appropriately addressed within the consolidated financial statements and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1" w:name="fin66194_8"/>
      <w:bookmarkEnd w:id="31"/>
      <w:r>
        <w:rPr>
          <w:rFonts w:ascii="Times New Roman" w:hAnsi="Times New Roman"/>
          <w:b/>
          <w:sz w:val="20"/>
        </w:rPr>
        <w:t xml:space="preserve">Report of Independent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To the Stockholders and the Board of Directors of Hornbeck Offshore Services, Inc. </w:t>
      </w:r>
    </w:p>
    <w:p>
      <w:pPr>
        <w:pStyle w:val="TextBody"/>
        <w:bidi w:val="0"/>
        <w:spacing w:before="24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Hornbeck Offshore Services, Inc. and subsidiaries (the Company) as of December 31, 2024 and 2023, the related consolidated statements of operations, comprehensive income,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 </w:t>
      </w:r>
    </w:p>
    <w:p>
      <w:pPr>
        <w:pStyle w:val="TextBody"/>
        <w:bidi w:val="0"/>
        <w:spacing w:before="120" w:after="0"/>
        <w:jc w:val="left"/>
        <w:rPr>
          <w:rFonts w:ascii="Times New Roman" w:hAnsi="Times New Roman"/>
          <w:sz w:val="20"/>
        </w:rPr>
      </w:pPr>
      <w:r>
        <w:rPr>
          <w:rFonts w:ascii="Times New Roman" w:hAnsi="Times New Roman"/>
          <w:sz w:val="20"/>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529"/>
        <w:gridCol w:w="204"/>
        <w:gridCol w:w="8472"/>
      </w:tblGrid>
      <w:tr>
        <w:trPr/>
        <w:tc>
          <w:tcPr>
            <w:tcW w:w="152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472" w:type="dxa"/>
            <w:tcBorders/>
            <w:vAlign w:val="center"/>
          </w:tcPr>
          <w:p>
            <w:pPr>
              <w:pStyle w:val="TableContents"/>
              <w:bidi w:val="0"/>
              <w:spacing w:before="0" w:after="283"/>
              <w:jc w:val="left"/>
              <w:rPr>
                <w:sz w:val="4"/>
                <w:szCs w:val="4"/>
              </w:rPr>
            </w:pPr>
            <w:r>
              <w:rPr>
                <w:sz w:val="4"/>
                <w:szCs w:val="4"/>
              </w:rPr>
            </w:r>
          </w:p>
        </w:tc>
      </w:tr>
      <w:tr>
        <w:trPr/>
        <w:tc>
          <w:tcPr>
            <w:tcW w:w="1529"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8472" w:type="dxa"/>
            <w:tcBorders/>
            <w:vAlign w:val="bottom"/>
          </w:tcPr>
          <w:p>
            <w:pPr>
              <w:pStyle w:val="TableContents"/>
              <w:bidi w:val="0"/>
              <w:spacing w:before="0" w:after="0"/>
              <w:jc w:val="left"/>
              <w:rPr>
                <w:rFonts w:ascii="Times New Roman" w:hAnsi="Times New Roman"/>
                <w:b/>
                <w:i/>
                <w:sz w:val="20"/>
              </w:rPr>
            </w:pPr>
            <w:r>
              <w:rPr>
                <w:rFonts w:ascii="Times New Roman" w:hAnsi="Times New Roman"/>
                <w:b/>
                <w:i/>
                <w:sz w:val="20"/>
              </w:rPr>
              <w:t>Fair Value of the Creditor Warrants</w:t>
            </w:r>
          </w:p>
        </w:tc>
      </w:tr>
      <w:tr>
        <w:trPr>
          <w:trHeight w:val="120" w:hRule="atLeast"/>
        </w:trPr>
        <w:tc>
          <w:tcPr>
            <w:tcW w:w="1529" w:type="dxa"/>
            <w:tcBorders/>
            <w:vAlign w:val="center"/>
          </w:tcPr>
          <w:p>
            <w:pPr>
              <w:pStyle w:val="TableContents"/>
              <w:bidi w:val="0"/>
              <w:spacing w:before="0" w:after="283"/>
              <w:jc w:val="left"/>
              <w:rPr>
                <w:sz w:val="4"/>
                <w:szCs w:val="4"/>
              </w:rPr>
            </w:pPr>
            <w:r>
              <w:rPr>
                <w:sz w:val="4"/>
                <w:szCs w:val="4"/>
              </w:rPr>
            </w:r>
          </w:p>
        </w:tc>
        <w:tc>
          <w:tcPr>
            <w:tcW w:w="8676" w:type="dxa"/>
            <w:gridSpan w:val="2"/>
            <w:tcBorders/>
            <w:vAlign w:val="center"/>
          </w:tcPr>
          <w:p>
            <w:pPr>
              <w:pStyle w:val="TableContents"/>
              <w:bidi w:val="0"/>
              <w:spacing w:before="0" w:after="283"/>
              <w:jc w:val="left"/>
              <w:rPr>
                <w:sz w:val="4"/>
                <w:szCs w:val="4"/>
              </w:rPr>
            </w:pPr>
            <w:r>
              <w:rPr>
                <w:sz w:val="4"/>
                <w:szCs w:val="4"/>
              </w:rPr>
            </w:r>
          </w:p>
        </w:tc>
      </w:tr>
      <w:tr>
        <w:trPr/>
        <w:tc>
          <w:tcPr>
            <w:tcW w:w="1529" w:type="dxa"/>
            <w:tcBorders/>
          </w:tcPr>
          <w:p>
            <w:pPr>
              <w:pStyle w:val="TableContents"/>
              <w:bidi w:val="0"/>
              <w:spacing w:before="0" w:after="283"/>
              <w:jc w:val="left"/>
              <w:rPr>
                <w:i/>
              </w:rPr>
            </w:pPr>
            <w:r>
              <w:rPr>
                <w:i/>
              </w:rPr>
              <w:t>Description of the Matter</w:t>
            </w:r>
          </w:p>
        </w:tc>
        <w:tc>
          <w:tcPr>
            <w:tcW w:w="204"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0"/>
              <w:jc w:val="left"/>
              <w:rPr>
                <w:rFonts w:ascii="Times New Roman" w:hAnsi="Times New Roman"/>
                <w:sz w:val="20"/>
              </w:rPr>
            </w:pPr>
            <w:r>
              <w:rPr>
                <w:rFonts w:ascii="Times New Roman" w:hAnsi="Times New Roman"/>
                <w:sz w:val="20"/>
              </w:rPr>
              <w:t>As described in Note 12 to the consolidated financial statements, the Company issued 1.6 million Creditor Warrants on September 4, 2020. Prior to December 10, 2024, the Creditor Warrants were recorded as a non-current liability on the consolidated balance sheets. On December 10, 2024, the terms of the Creditor Warrants were amended and liability classification was no longer required resulting in a $70.1 million increase to equity. The Company utilized a Black-Scholes model to estimate the fair value of the Creditor Warrants, which uses inputs including the current estimated fair value of the underlying common stock, the exercise price, the contractual expiry term, an estimated equity volatility, a term-match risk-free rate and an expected dividend yield.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management’s fair value estimate of the Creditor Warrants was complex and highly judgmental due to the estimation required to determine the fair value of the Creditor Warrants. In particular, the current estimated fair value of the underlying common stock involves a high degree of subjectivity including the use of prospective financial information, weighted average cost of capital, and an exit multiple.</w:t>
            </w:r>
          </w:p>
        </w:tc>
      </w:tr>
      <w:tr>
        <w:trPr>
          <w:trHeight w:val="120" w:hRule="atLeast"/>
        </w:trPr>
        <w:tc>
          <w:tcPr>
            <w:tcW w:w="1529" w:type="dxa"/>
            <w:tcBorders/>
            <w:vAlign w:val="center"/>
          </w:tcPr>
          <w:p>
            <w:pPr>
              <w:pStyle w:val="TableContents"/>
              <w:bidi w:val="0"/>
              <w:spacing w:before="0" w:after="283"/>
              <w:jc w:val="left"/>
              <w:rPr>
                <w:sz w:val="4"/>
                <w:szCs w:val="4"/>
              </w:rPr>
            </w:pPr>
            <w:r>
              <w:rPr>
                <w:sz w:val="4"/>
                <w:szCs w:val="4"/>
              </w:rPr>
            </w:r>
          </w:p>
        </w:tc>
        <w:tc>
          <w:tcPr>
            <w:tcW w:w="8676" w:type="dxa"/>
            <w:gridSpan w:val="2"/>
            <w:tcBorders/>
            <w:vAlign w:val="center"/>
          </w:tcPr>
          <w:p>
            <w:pPr>
              <w:pStyle w:val="TableContents"/>
              <w:bidi w:val="0"/>
              <w:spacing w:before="0" w:after="283"/>
              <w:jc w:val="left"/>
              <w:rPr>
                <w:sz w:val="4"/>
                <w:szCs w:val="4"/>
              </w:rPr>
            </w:pPr>
            <w:r>
              <w:rPr>
                <w:sz w:val="4"/>
                <w:szCs w:val="4"/>
              </w:rPr>
            </w:r>
          </w:p>
        </w:tc>
      </w:tr>
      <w:tr>
        <w:trPr/>
        <w:tc>
          <w:tcPr>
            <w:tcW w:w="1529" w:type="dxa"/>
            <w:tcBorders/>
          </w:tcPr>
          <w:p>
            <w:pPr>
              <w:pStyle w:val="TableContents"/>
              <w:bidi w:val="0"/>
              <w:spacing w:before="0" w:after="283"/>
              <w:jc w:val="left"/>
              <w:rPr>
                <w:i/>
              </w:rPr>
            </w:pPr>
            <w:r>
              <w:rPr>
                <w:i/>
              </w:rPr>
              <w:t>How We Addressed the Matter in Our Audit</w:t>
            </w:r>
          </w:p>
        </w:tc>
        <w:tc>
          <w:tcPr>
            <w:tcW w:w="204" w:type="dxa"/>
            <w:tcBorders/>
            <w:vAlign w:val="bottom"/>
          </w:tcPr>
          <w:p>
            <w:pPr>
              <w:pStyle w:val="TableContents"/>
              <w:bidi w:val="0"/>
              <w:spacing w:before="0" w:after="283"/>
              <w:jc w:val="left"/>
              <w:rPr/>
            </w:pPr>
            <w:r>
              <w:rPr/>
              <w:t>  </w:t>
            </w:r>
          </w:p>
        </w:tc>
        <w:tc>
          <w:tcPr>
            <w:tcW w:w="8472" w:type="dxa"/>
            <w:tcBorders/>
          </w:tcPr>
          <w:p>
            <w:pPr>
              <w:pStyle w:val="TableContents"/>
              <w:bidi w:val="0"/>
              <w:spacing w:before="0" w:after="283"/>
              <w:jc w:val="left"/>
              <w:rPr/>
            </w:pPr>
            <w:r>
              <w:rPr/>
              <w:t>To test the estimated fair value of the Creditor Warrants, we performed audit procedures that included, among others, assessing methodologies and testing the significant assumptions used in estimating the fair value of the underlying common stock, and testing the underlying data used by the Company in its analysis. For example, we compared the prospective financial information used by management in estimating the fair value of the underlying common stock to current industry and economic trends and other relevant factors, such as the Company’s historical financial results. We also assessed the historical accuracy of management’s prospective financial information. We involved our valuation specialists to assist in our evaluation of the methodology applied by the Company and the significant assumptions used in estimating the fair value of the underlying common stock, which is used to estimate the fair value of the Creditor Warrants.</w:t>
            </w:r>
          </w:p>
        </w:tc>
      </w:tr>
    </w:tbl>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Company’s auditors since 2002. </w:t>
      </w:r>
    </w:p>
    <w:p>
      <w:pPr>
        <w:pStyle w:val="TextBody"/>
        <w:bidi w:val="0"/>
        <w:spacing w:before="240" w:after="0"/>
        <w:jc w:val="left"/>
        <w:rPr>
          <w:rFonts w:ascii="Times New Roman" w:hAnsi="Times New Roman"/>
          <w:sz w:val="20"/>
        </w:rPr>
      </w:pPr>
      <w:r>
        <w:rPr>
          <w:rFonts w:ascii="Times New Roman" w:hAnsi="Times New Roman"/>
          <w:sz w:val="20"/>
        </w:rPr>
        <w:t xml:space="preserve">New Orleans, Louisiana </w:t>
      </w:r>
    </w:p>
    <w:p>
      <w:pPr>
        <w:pStyle w:val="TextBody"/>
        <w:bidi w:val="0"/>
        <w:spacing w:before="240" w:after="0"/>
        <w:jc w:val="left"/>
        <w:rPr>
          <w:rFonts w:ascii="Times New Roman" w:hAnsi="Times New Roman"/>
          <w:sz w:val="20"/>
        </w:rPr>
      </w:pPr>
      <w:r>
        <w:rPr>
          <w:rFonts w:ascii="Times New Roman" w:hAnsi="Times New Roman"/>
          <w:sz w:val="20"/>
        </w:rPr>
        <w:t xml:space="preserve">March 21,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fin66194_9"/>
      <w:bookmarkEnd w:id="32"/>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78"/>
        <w:gridCol w:w="289"/>
        <w:gridCol w:w="176"/>
        <w:gridCol w:w="1253"/>
        <w:gridCol w:w="155"/>
        <w:gridCol w:w="249"/>
        <w:gridCol w:w="211"/>
        <w:gridCol w:w="1230"/>
        <w:gridCol w:w="64"/>
      </w:tblGrid>
      <w:tr>
        <w:trPr/>
        <w:tc>
          <w:tcPr>
            <w:tcW w:w="6578"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578"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2023</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80,803</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120,055</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 of allowance for credit losses of $7,929 and $6,307, respectively</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145,527</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126,438</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4,490</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4,870</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Taxes receivable</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13,755</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7,961</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12,376</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11,500</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256,951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270,824</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674,729</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602,422</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765</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765</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charges, net</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72,075</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48,336</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right-of-use-assets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20,748</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22,905</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right-of-use assets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1,142</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827</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440</w:t>
            </w:r>
          </w:p>
        </w:tc>
        <w:tc>
          <w:tcPr>
            <w:tcW w:w="64" w:type="dxa"/>
            <w:tcBorders/>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1,026,467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946,519</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25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253" w:type="dxa"/>
            <w:tcBorders/>
            <w:vAlign w:val="bottom"/>
          </w:tcPr>
          <w:p>
            <w:pPr>
              <w:pStyle w:val="TableContents"/>
              <w:bidi w:val="0"/>
              <w:spacing w:before="0" w:after="283"/>
              <w:jc w:val="right"/>
              <w:rPr/>
            </w:pPr>
            <w:r>
              <w:rPr/>
              <w:t>71,092</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76,484</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578</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5,357</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Accrued payroll and benefits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22,267</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26,511</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5,037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5,096</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457</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342</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taxes payable</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9,914</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12,328</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6,694</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2,822</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1,962</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1,475</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118,001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130,415</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 of original issue discount of $6,750 and $0, and deferred financing costs of $2,019 and $0</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441,231</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349,001</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6,049</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1,996</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Liability-classified warrants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75,475</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18,861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20,309</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589</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351</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7,594</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7,679</w:t>
            </w:r>
          </w:p>
        </w:tc>
        <w:tc>
          <w:tcPr>
            <w:tcW w:w="64" w:type="dxa"/>
            <w:tcBorders/>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liabilities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474,324</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454,811</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592,325</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585,226</w:t>
            </w:r>
          </w:p>
        </w:tc>
        <w:tc>
          <w:tcPr>
            <w:tcW w:w="64" w:type="dxa"/>
            <w:tcBorders/>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25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$0.00001 par value; 50,000 shares authorized; 5,367 and 5,554 shares issued and outstanding, respectively</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264,869</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210,776</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176,761</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148,428</w:t>
            </w:r>
          </w:p>
        </w:tc>
        <w:tc>
          <w:tcPr>
            <w:tcW w:w="64" w:type="dxa"/>
            <w:tcBorders/>
            <w:vAlign w:val="bottom"/>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53" w:type="dxa"/>
            <w:tcBorders/>
            <w:shd w:fill="CCEEFF" w:val="clear"/>
            <w:vAlign w:val="bottom"/>
          </w:tcPr>
          <w:p>
            <w:pPr>
              <w:pStyle w:val="TableContents"/>
              <w:bidi w:val="0"/>
              <w:spacing w:before="0" w:after="283"/>
              <w:jc w:val="right"/>
              <w:rPr/>
            </w:pPr>
            <w:r>
              <w:rPr/>
              <w:t>(7,488</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2,089</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right"/>
              <w:rPr/>
            </w:pPr>
            <w:r>
              <w:rPr/>
              <w:t>434,142</w:t>
            </w:r>
          </w:p>
        </w:tc>
        <w:tc>
          <w:tcPr>
            <w:tcW w:w="155"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361,293</w:t>
            </w:r>
          </w:p>
        </w:tc>
        <w:tc>
          <w:tcPr>
            <w:tcW w:w="64" w:type="dxa"/>
            <w:tcBorders/>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2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5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8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53" w:type="dxa"/>
            <w:tcBorders/>
            <w:shd w:fill="CCEEFF" w:val="clear"/>
            <w:vAlign w:val="bottom"/>
          </w:tcPr>
          <w:p>
            <w:pPr>
              <w:pStyle w:val="TableContents"/>
              <w:bidi w:val="0"/>
              <w:spacing w:before="0" w:after="283"/>
              <w:jc w:val="right"/>
              <w:rPr/>
            </w:pPr>
            <w:r>
              <w:rPr/>
              <w:t>1,026,467</w:t>
            </w:r>
          </w:p>
        </w:tc>
        <w:tc>
          <w:tcPr>
            <w:tcW w:w="155"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30" w:type="dxa"/>
            <w:tcBorders/>
            <w:shd w:fill="CCEEFF" w:val="clear"/>
            <w:vAlign w:val="bottom"/>
          </w:tcPr>
          <w:p>
            <w:pPr>
              <w:pStyle w:val="TableContents"/>
              <w:bidi w:val="0"/>
              <w:spacing w:before="0" w:after="283"/>
              <w:jc w:val="right"/>
              <w:rPr/>
            </w:pPr>
            <w:r>
              <w:rPr/>
              <w:t>946,519</w:t>
            </w:r>
          </w:p>
        </w:tc>
        <w:tc>
          <w:tcPr>
            <w:tcW w:w="64" w:type="dxa"/>
            <w:tcBorders/>
            <w:shd w:fill="CCEEFF" w:val="clear"/>
            <w:vAlign w:val="bottom"/>
          </w:tcPr>
          <w:p>
            <w:pPr>
              <w:pStyle w:val="TableContents"/>
              <w:bidi w:val="0"/>
              <w:spacing w:before="0" w:after="283"/>
              <w:jc w:val="left"/>
              <w:rPr/>
            </w:pPr>
            <w:r>
              <w:rPr/>
              <w:t> </w:t>
            </w:r>
          </w:p>
        </w:tc>
      </w:tr>
      <w:tr>
        <w:trPr/>
        <w:tc>
          <w:tcPr>
            <w:tcW w:w="657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25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fin66194_10"/>
      <w:bookmarkEnd w:id="33"/>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22"/>
        <w:gridCol w:w="215"/>
        <w:gridCol w:w="140"/>
        <w:gridCol w:w="805"/>
        <w:gridCol w:w="155"/>
        <w:gridCol w:w="183"/>
        <w:gridCol w:w="140"/>
        <w:gridCol w:w="805"/>
        <w:gridCol w:w="155"/>
        <w:gridCol w:w="183"/>
        <w:gridCol w:w="140"/>
        <w:gridCol w:w="805"/>
        <w:gridCol w:w="157"/>
      </w:tblGrid>
      <w:tr>
        <w:trPr/>
        <w:tc>
          <w:tcPr>
            <w:tcW w:w="6322"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2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351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592,246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528,780</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406,034</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Non-vessel revenues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48,605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44,669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45,192</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640,851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573,449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451,226</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and expenses: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5"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364,584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305,463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214,788</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37,812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26,355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18,601</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26,734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21,496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10,339</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71,110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66,108</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58,946</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9,384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19,097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5,330</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509,624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438,519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308,004</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assets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21,837</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131,269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137,632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165,059</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26,382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39,802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41,172</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5,763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9,755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2,832</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20,619</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30,047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38,340</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110,650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107,585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126,719</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5"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early extinguishment of debt</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(44</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Postponed offering costs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(9,136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(3,693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(1,434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(1,559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(198</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5,412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(10,917</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(41,408</w:t>
            </w:r>
          </w:p>
        </w:tc>
        <w:tc>
          <w:tcPr>
            <w:tcW w:w="157" w:type="dxa"/>
            <w:tcBorders/>
            <w:vAlign w:val="bottom"/>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853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2,867</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(5,166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(16,552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(38,783</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105,484</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91,033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87,936</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12,682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16,495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7,174</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92,802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74,538</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80,762</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5.43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4.38</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5" w:type="dxa"/>
            <w:tcBorders/>
            <w:vAlign w:val="bottom"/>
          </w:tcPr>
          <w:p>
            <w:pPr>
              <w:pStyle w:val="TableContents"/>
              <w:bidi w:val="0"/>
              <w:spacing w:before="0" w:after="283"/>
              <w:jc w:val="right"/>
              <w:rPr/>
            </w:pPr>
            <w:r>
              <w:rPr/>
              <w:t>4.80</w:t>
            </w:r>
          </w:p>
        </w:tc>
        <w:tc>
          <w:tcPr>
            <w:tcW w:w="157" w:type="dxa"/>
            <w:tcBorders/>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6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4.83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3.89</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4.39</w:t>
            </w:r>
          </w:p>
        </w:tc>
        <w:tc>
          <w:tcPr>
            <w:tcW w:w="157" w:type="dxa"/>
            <w:tcBorders/>
            <w:shd w:fill="CCEEFF" w:val="clear"/>
            <w:vAlign w:val="bottom"/>
          </w:tcPr>
          <w:p>
            <w:pPr>
              <w:pStyle w:val="TableContents"/>
              <w:bidi w:val="0"/>
              <w:spacing w:before="0" w:after="283"/>
              <w:jc w:val="left"/>
              <w:rPr/>
            </w:pPr>
            <w:r>
              <w:rPr/>
              <w:t> </w:t>
            </w:r>
          </w:p>
        </w:tc>
      </w:tr>
      <w:tr>
        <w:trPr/>
        <w:tc>
          <w:tcPr>
            <w:tcW w:w="6322"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fin66194_11"/>
      <w:bookmarkEnd w:id="34"/>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11"/>
        <w:gridCol w:w="224"/>
        <w:gridCol w:w="140"/>
        <w:gridCol w:w="682"/>
        <w:gridCol w:w="162"/>
        <w:gridCol w:w="193"/>
        <w:gridCol w:w="140"/>
        <w:gridCol w:w="682"/>
        <w:gridCol w:w="60"/>
        <w:gridCol w:w="224"/>
        <w:gridCol w:w="140"/>
        <w:gridCol w:w="682"/>
        <w:gridCol w:w="65"/>
      </w:tblGrid>
      <w:tr>
        <w:trPr/>
        <w:tc>
          <w:tcPr>
            <w:tcW w:w="6811"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81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31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6811"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6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92,802</w:t>
            </w:r>
          </w:p>
        </w:tc>
        <w:tc>
          <w:tcPr>
            <w:tcW w:w="16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74,538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80,762</w:t>
            </w:r>
          </w:p>
        </w:tc>
        <w:tc>
          <w:tcPr>
            <w:tcW w:w="65" w:type="dxa"/>
            <w:tcBorders/>
            <w:shd w:fill="CCEEFF" w:val="clear"/>
            <w:vAlign w:val="bottom"/>
          </w:tcPr>
          <w:p>
            <w:pPr>
              <w:pStyle w:val="TableContents"/>
              <w:bidi w:val="0"/>
              <w:spacing w:before="0" w:after="283"/>
              <w:jc w:val="left"/>
              <w:rPr/>
            </w:pPr>
            <w:r>
              <w:rPr/>
              <w:t> </w:t>
            </w:r>
          </w:p>
        </w:tc>
      </w:tr>
      <w:tr>
        <w:trPr/>
        <w:tc>
          <w:tcPr>
            <w:tcW w:w="6811"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(loss), net of tax</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(9,577</w:t>
            </w:r>
          </w:p>
        </w:tc>
        <w:tc>
          <w:tcPr>
            <w:tcW w:w="16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2,153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867</w:t>
            </w:r>
          </w:p>
        </w:tc>
        <w:tc>
          <w:tcPr>
            <w:tcW w:w="65" w:type="dxa"/>
            <w:tcBorders/>
            <w:shd w:fill="CCEEFF" w:val="clear"/>
            <w:vAlign w:val="bottom"/>
          </w:tcPr>
          <w:p>
            <w:pPr>
              <w:pStyle w:val="TableContents"/>
              <w:bidi w:val="0"/>
              <w:spacing w:before="0" w:after="283"/>
              <w:jc w:val="left"/>
              <w:rPr/>
            </w:pPr>
            <w:r>
              <w:rPr/>
              <w:t> </w:t>
            </w:r>
          </w:p>
        </w:tc>
      </w:tr>
      <w:tr>
        <w:trPr/>
        <w:tc>
          <w:tcPr>
            <w:tcW w:w="6811"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811" w:type="dxa"/>
            <w:tcBorders/>
          </w:tcPr>
          <w:p>
            <w:pPr>
              <w:pStyle w:val="TableContents"/>
              <w:bidi w:val="0"/>
              <w:spacing w:before="0" w:after="0"/>
              <w:jc w:val="left"/>
              <w:rPr>
                <w:rFonts w:ascii="Times New Roman" w:hAnsi="Times New Roman"/>
                <w:sz w:val="20"/>
              </w:rPr>
            </w:pPr>
            <w:r>
              <w:rPr>
                <w:rFonts w:ascii="Times New Roman" w:hAnsi="Times New Roman"/>
                <w:sz w:val="20"/>
              </w:rPr>
              <w:t>Total comprehensive income</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83,225</w:t>
            </w:r>
          </w:p>
        </w:tc>
        <w:tc>
          <w:tcPr>
            <w:tcW w:w="16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76,691</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81,629</w:t>
            </w:r>
          </w:p>
        </w:tc>
        <w:tc>
          <w:tcPr>
            <w:tcW w:w="65" w:type="dxa"/>
            <w:tcBorders/>
            <w:vAlign w:val="bottom"/>
          </w:tcPr>
          <w:p>
            <w:pPr>
              <w:pStyle w:val="TableContents"/>
              <w:bidi w:val="0"/>
              <w:spacing w:before="0" w:after="283"/>
              <w:jc w:val="left"/>
              <w:rPr/>
            </w:pPr>
            <w:r>
              <w:rPr/>
              <w:t> </w:t>
            </w:r>
          </w:p>
        </w:tc>
      </w:tr>
      <w:tr>
        <w:trPr/>
        <w:tc>
          <w:tcPr>
            <w:tcW w:w="6811"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fin66194_12"/>
      <w:bookmarkEnd w:id="35"/>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CHANGES IN STOCKHOLDERS’ EQUITY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885" w:type="dxa"/>
        <w:jc w:val="center"/>
        <w:tblInd w:w="0" w:type="dxa"/>
        <w:tblLayout w:type="fixed"/>
        <w:tblCellMar>
          <w:top w:w="0" w:type="dxa"/>
          <w:left w:w="0" w:type="dxa"/>
          <w:bottom w:w="0" w:type="dxa"/>
          <w:right w:w="0" w:type="dxa"/>
        </w:tblCellMar>
      </w:tblPr>
      <w:tblGrid>
        <w:gridCol w:w="1160"/>
        <w:gridCol w:w="120"/>
        <w:gridCol w:w="93"/>
        <w:gridCol w:w="872"/>
        <w:gridCol w:w="155"/>
        <w:gridCol w:w="60"/>
        <w:gridCol w:w="102"/>
        <w:gridCol w:w="1163"/>
        <w:gridCol w:w="155"/>
        <w:gridCol w:w="60"/>
        <w:gridCol w:w="232"/>
        <w:gridCol w:w="733"/>
        <w:gridCol w:w="60"/>
        <w:gridCol w:w="120"/>
        <w:gridCol w:w="163"/>
        <w:gridCol w:w="937"/>
        <w:gridCol w:w="155"/>
        <w:gridCol w:w="60"/>
        <w:gridCol w:w="141"/>
        <w:gridCol w:w="809"/>
        <w:gridCol w:w="155"/>
        <w:gridCol w:w="60"/>
        <w:gridCol w:w="290"/>
        <w:gridCol w:w="1320"/>
        <w:gridCol w:w="155"/>
        <w:gridCol w:w="60"/>
        <w:gridCol w:w="199"/>
        <w:gridCol w:w="1141"/>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Common</w:t>
              <w:b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Warrants (1)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pPr>
            <w:r>
              <w:rPr>
                <w:b/>
              </w:rPr>
              <w:t>Common</w:t>
            </w:r>
            <w:r>
              <w:rPr/>
              <w:br/>
            </w:r>
            <w:r>
              <w:rPr>
                <w:b/>
              </w:rPr>
              <w:t>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Additional</w:t>
            </w:r>
            <w:r>
              <w:rPr/>
              <w:br/>
            </w:r>
            <w:r>
              <w:rPr>
                <w:b/>
              </w:rPr>
              <w:t>Paid-In</w:t>
            </w:r>
            <w:r>
              <w:rPr/>
              <w:br/>
            </w:r>
            <w:r>
              <w:rPr>
                <w:b/>
              </w:rPr>
              <w:t>Capital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bottom"/>
          </w:tcPr>
          <w:p>
            <w:pPr>
              <w:pStyle w:val="TableContents"/>
              <w:bidi w:val="0"/>
              <w:spacing w:before="0" w:after="283"/>
              <w:jc w:val="center"/>
              <w:rPr/>
            </w:pPr>
            <w:r>
              <w:rPr>
                <w:b/>
              </w:rPr>
              <w:t>Retained</w:t>
              <w:br/>
              <w:t>Earnings</w:t>
            </w:r>
            <w:r>
              <w:rPr/>
              <w:br/>
            </w:r>
            <w:r>
              <w:rPr>
                <w:b/>
              </w:rP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Other</w:t>
            </w:r>
            <w:r>
              <w:rPr/>
              <w:br/>
            </w:r>
            <w:r>
              <w:rPr>
                <w:b/>
              </w:rPr>
              <w:t>Comprehensive</w:t>
            </w:r>
            <w:r>
              <w:rPr/>
              <w:br/>
            </w:r>
            <w:r>
              <w:rPr>
                <w:b/>
              </w:rPr>
              <w:t>Income (Loss)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r>
            <w:r>
              <w:rPr/>
              <w:br/>
            </w:r>
            <w:r>
              <w:rPr>
                <w:b/>
              </w:rPr>
              <w:t>Stockholders</w:t>
            </w:r>
            <w:r>
              <w:rPr/>
              <w:br/>
            </w:r>
            <w:r>
              <w:rPr>
                <w:b/>
              </w:rPr>
              <w:t>Equity</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January 1, 2022</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4,652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12,111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191,676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(6,872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(931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183,873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Convert Jones Act Warrants to common stock</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(734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5,330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5,330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80,762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80,762</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867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867</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5,386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11,377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197,006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73,890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270,832</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18,828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18,828</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withheld for employee withholding taxes</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(5,058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(5,058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74,538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74,538</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income, net</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2,153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2,153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5,554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11,377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210,776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148,428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0" w:type="dxa"/>
            <w:tcBorders/>
            <w:vAlign w:val="bottom"/>
          </w:tcPr>
          <w:p>
            <w:pPr>
              <w:pStyle w:val="TableContents"/>
              <w:bidi w:val="0"/>
              <w:spacing w:before="0" w:after="283"/>
              <w:jc w:val="right"/>
              <w:rPr/>
            </w:pPr>
            <w:r>
              <w:rPr/>
              <w:t>2,089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361,293</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 of common stock</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8,588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8,588</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withheld for employee withholding taxes</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(3,716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(3,716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Creditor Warrants reclassified to equity</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1,592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70,063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70,063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Jones Act Warrants and Creditor Warrants repurchased</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(275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(945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(13,929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(64,469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(78,398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MIP awards repurchased</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(6,913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(6,913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92,802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92,802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loss, net</w:t>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87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16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0" w:type="dxa"/>
            <w:tcBorders/>
            <w:vAlign w:val="bottom"/>
          </w:tcPr>
          <w:p>
            <w:pPr>
              <w:pStyle w:val="TableContents"/>
              <w:bidi w:val="0"/>
              <w:spacing w:before="0" w:after="283"/>
              <w:jc w:val="right"/>
              <w:rPr/>
            </w:pPr>
            <w:r>
              <w:rPr/>
              <w:t>(9,577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(9,577</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8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116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73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12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872" w:type="dxa"/>
            <w:tcBorders/>
            <w:shd w:fill="CCEEFF" w:val="clear"/>
            <w:vAlign w:val="bottom"/>
          </w:tcPr>
          <w:p>
            <w:pPr>
              <w:pStyle w:val="TableContents"/>
              <w:bidi w:val="0"/>
              <w:spacing w:before="0" w:after="283"/>
              <w:jc w:val="right"/>
              <w:rPr/>
            </w:pPr>
            <w:r>
              <w:rPr/>
              <w:t>5,367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163" w:type="dxa"/>
            <w:tcBorders/>
            <w:shd w:fill="CCEEFF" w:val="clear"/>
            <w:vAlign w:val="bottom"/>
          </w:tcPr>
          <w:p>
            <w:pPr>
              <w:pStyle w:val="TableContents"/>
              <w:bidi w:val="0"/>
              <w:spacing w:before="0" w:after="283"/>
              <w:jc w:val="right"/>
              <w:rPr/>
            </w:pPr>
            <w:r>
              <w:rPr/>
              <w:t>12,024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w:t>
            </w:r>
          </w:p>
        </w:tc>
        <w:tc>
          <w:tcPr>
            <w:tcW w:w="73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264,869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176,761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0" w:type="dxa"/>
            <w:tcBorders/>
            <w:shd w:fill="CCEEFF" w:val="clear"/>
            <w:vAlign w:val="bottom"/>
          </w:tcPr>
          <w:p>
            <w:pPr>
              <w:pStyle w:val="TableContents"/>
              <w:bidi w:val="0"/>
              <w:spacing w:before="0" w:after="283"/>
              <w:jc w:val="right"/>
              <w:rPr/>
            </w:pPr>
            <w:r>
              <w:rPr/>
              <w:t>(7,488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434,142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double" w:sz="6" w:space="1" w:color="000000"/>
              </w:pBdr>
              <w:bidi w:val="0"/>
              <w:spacing w:before="0" w:after="0"/>
              <w:jc w:val="left"/>
              <w:rPr/>
            </w:pPr>
            <w:r>
              <w:rPr/>
              <w:t> </w:t>
            </w:r>
          </w:p>
        </w:tc>
        <w:tc>
          <w:tcPr>
            <w:tcW w:w="8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116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73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10,494 Jones Act Warrants and 1,530 Creditor Warrants issued and outstanding as of December 31, 2024.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6" w:name="fin66194_13"/>
      <w:bookmarkEnd w:id="36"/>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17"/>
        <w:gridCol w:w="219"/>
        <w:gridCol w:w="140"/>
        <w:gridCol w:w="875"/>
        <w:gridCol w:w="155"/>
        <w:gridCol w:w="178"/>
        <w:gridCol w:w="140"/>
        <w:gridCol w:w="875"/>
        <w:gridCol w:w="155"/>
        <w:gridCol w:w="178"/>
        <w:gridCol w:w="140"/>
        <w:gridCol w:w="875"/>
        <w:gridCol w:w="158"/>
      </w:tblGrid>
      <w:tr>
        <w:trPr/>
        <w:tc>
          <w:tcPr>
            <w:tcW w:w="6117"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1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371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OPERATING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Net income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92,802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74,538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80,762</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income to net cash provided by operating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expense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37,812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26,355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18,601</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expense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26,734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21,496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10,339</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9,384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19,097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5,330</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on early extinguishment of debt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1,236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44</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Provision for credit losses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1,622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551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257</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tax expense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4,607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1,340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55</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Amortization of deferred financing costs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383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572</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deferred contract-specific costs of sales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700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1,028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(refinanced) paid-in-kind interest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(74,375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7,763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30,407</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Mark-to-market adjustment of creditor warrants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(5,412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10,917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41,408</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Gain on sale of assets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(2,702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(21,837</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Changes in operating assets and liabilities: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(25,706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(8,553</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(45,467</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and long-term assets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(1,198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(3,550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(11,454</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Deferred drydocking charges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(59,491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(29,828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(19,114</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11,151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15,385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8,303</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Accrued liabilities and other liabilities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(2,662</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10,819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14,540</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Accrued interest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338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221</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Net cash provided by operating activities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16,477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146,115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112,967</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INVESTING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Maintenance capital improvements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(16,171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(7,745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(3,758</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Growth capital expenditures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(55,536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(128,547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(116,047</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Commercial capital expenditures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(47,619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(33,864</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(10,949</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Non-vessel capital expenditures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(753</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(1,087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(1,328</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Net proceeds from sale of assets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2,898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22,925</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(120,020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(168,345</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(109,157</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CASH FLOWS FROM FINANCING ACTIVITIES: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from first-lien term loans due 2024</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37,500</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Repayment of first-lien term loans due 2024</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(70,605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(4,436</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Fees for repayment of first-lien term loans due 2025</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Deferred financing costs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(4,901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11</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paid in lieu of shares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Cash paid for withholding taxes on net share settlements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(3,716</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(5,058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Principal payments under finance lease obligations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(396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(287</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(200</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Redemption premium on second-lien term loans due 2026</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(5,117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settlement of equity awards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(7,754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Repurchase of common stock</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(78,398</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Repayment of second-lien term loans due 2026</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(274,626</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Net proceeds from second-lien term loans due 2033</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443,250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provided by (used in) financing activities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68,272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(76,038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32,875</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Effects of foreign currency exchange rate changes on cash</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(3,981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1,437</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196</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increase (decrease) in cash, cash equivalents and restricted cash</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(39,252</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(96,831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36,881</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beginning of period</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120,820</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217,651</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180,770</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cash equivalents and restricted cash at end of period</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81,568</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120,820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217,651</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SUPPLEMENTAL DISCLOSURES OF CASH FLOW ACTIVITIES:</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paid for interest</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29,404</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32,970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8,868</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tcPr>
          <w:p>
            <w:pPr>
              <w:pStyle w:val="TableContents"/>
              <w:bidi w:val="0"/>
              <w:spacing w:before="0" w:after="0"/>
              <w:jc w:val="left"/>
              <w:rPr>
                <w:rFonts w:ascii="Times New Roman" w:hAnsi="Times New Roman"/>
                <w:sz w:val="18"/>
              </w:rPr>
            </w:pPr>
            <w:r>
              <w:rPr>
                <w:rFonts w:ascii="Times New Roman" w:hAnsi="Times New Roman"/>
                <w:sz w:val="18"/>
              </w:rPr>
              <w:t>Refinanced paid-in-kind interest</w:t>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74,375</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11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paid for income taxes, net of refunds</w:t>
            </w:r>
          </w:p>
        </w:tc>
        <w:tc>
          <w:tcPr>
            <w:tcW w:w="2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20,810</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9,311</w:t>
            </w:r>
          </w:p>
        </w:tc>
        <w:tc>
          <w:tcPr>
            <w:tcW w:w="155"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474</w:t>
            </w:r>
          </w:p>
        </w:tc>
        <w:tc>
          <w:tcPr>
            <w:tcW w:w="158" w:type="dxa"/>
            <w:tcBorders/>
            <w:shd w:fill="CCEEFF" w:val="clear"/>
            <w:vAlign w:val="bottom"/>
          </w:tcPr>
          <w:p>
            <w:pPr>
              <w:pStyle w:val="TableContents"/>
              <w:bidi w:val="0"/>
              <w:spacing w:before="0" w:after="283"/>
              <w:jc w:val="left"/>
              <w:rPr/>
            </w:pPr>
            <w:r>
              <w:rPr/>
              <w:t> </w:t>
            </w:r>
          </w:p>
        </w:tc>
      </w:tr>
      <w:tr>
        <w:trPr/>
        <w:tc>
          <w:tcPr>
            <w:tcW w:w="6117" w:type="dxa"/>
            <w:tcBorders/>
            <w:vAlign w:val="bottom"/>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7" w:name="fin66194_14"/>
      <w:bookmarkEnd w:id="37"/>
      <w:r>
        <w:rPr>
          <w:rFonts w:ascii="Times New Roman" w:hAnsi="Times New Roman"/>
          <w:b/>
          <w:sz w:val="20"/>
        </w:rPr>
        <w:t xml:space="preserve">HORNBECK OFFSHORE SERVICES,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Consolidated Financial Statements </w:t>
      </w:r>
    </w:p>
    <w:p>
      <w:pPr>
        <w:pStyle w:val="TextBody"/>
        <w:bidi w:val="0"/>
        <w:spacing w:before="120" w:after="0"/>
        <w:jc w:val="left"/>
        <w:rPr>
          <w:rFonts w:ascii="Times New Roman" w:hAnsi="Times New Roman"/>
          <w:b/>
          <w:sz w:val="20"/>
        </w:rPr>
      </w:pPr>
      <w:r>
        <w:rPr>
          <w:rFonts w:ascii="Times New Roman" w:hAnsi="Times New Roman"/>
          <w:b/>
          <w:sz w:val="20"/>
        </w:rPr>
        <w:t xml:space="preserve">1. Organization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Nature of Operations and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Hornbeck Offshore Services, Inc., or the Company, was incorporated in the state of Delaware in 1997. The Company, through its subsidiaries, operates offshore supply vessels, or OSVs, multi-purpose support vessels, or MPSVs, and a shore-base facility to provide marine transportation, logistics support and specialty services to customers in the offshore oil and gas exploration industry, primarily in the U.S. Gulf of America, or the GoA, Latin America and select international markets, as well as diversified non-oilfield markets, including military support services, renewable energy development and other non-oilfield service offerings in various markets.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Revenues associated with performance obligations satisfied over time are recognized on a daily basis throughout the contract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of all highly liquid investments in money market funds, deposits and investments available for current use with an initial maturity of three months or 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cash as restricted when there are contractual agreements that govern the use or withdrawal of the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 consists of trade receivables, net of reserves, plus amounts to be rebilled to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Credit Risk </w:t>
      </w:r>
    </w:p>
    <w:p>
      <w:pPr>
        <w:pStyle w:val="TextBody"/>
        <w:bidi w:val="0"/>
        <w:spacing w:before="120" w:after="0"/>
        <w:jc w:val="left"/>
        <w:rPr>
          <w:rFonts w:ascii="Times New Roman" w:hAnsi="Times New Roman"/>
          <w:sz w:val="20"/>
        </w:rPr>
      </w:pPr>
      <w:r>
        <w:rPr>
          <w:rFonts w:ascii="Times New Roman" w:hAnsi="Times New Roman"/>
          <w:sz w:val="20"/>
        </w:rPr>
        <w:t xml:space="preserve">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customer’s recent payment trends and credit worthiness to record an allowance for credit losses. Direct write-offs of receivables only occur when amounts are deemed uncollectible and all options for collection have been exhausted.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Activity in the allowance for credit losses was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00"/>
        <w:gridCol w:w="333"/>
        <w:gridCol w:w="146"/>
        <w:gridCol w:w="585"/>
        <w:gridCol w:w="60"/>
        <w:gridCol w:w="333"/>
        <w:gridCol w:w="146"/>
        <w:gridCol w:w="585"/>
        <w:gridCol w:w="155"/>
        <w:gridCol w:w="333"/>
        <w:gridCol w:w="146"/>
        <w:gridCol w:w="584"/>
        <w:gridCol w:w="66"/>
      </w:tblGrid>
      <w:tr>
        <w:trPr/>
        <w:tc>
          <w:tcPr>
            <w:tcW w:w="510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10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307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6"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7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6" w:type="dxa"/>
            <w:tcBorders/>
            <w:vAlign w:val="bottom"/>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beginning of year</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6,307</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5" w:type="dxa"/>
            <w:tcBorders/>
            <w:shd w:fill="CCEEFF" w:val="clear"/>
            <w:vAlign w:val="bottom"/>
          </w:tcPr>
          <w:p>
            <w:pPr>
              <w:pStyle w:val="TableContents"/>
              <w:bidi w:val="0"/>
              <w:spacing w:before="0" w:after="283"/>
              <w:jc w:val="right"/>
              <w:rPr/>
            </w:pPr>
            <w:r>
              <w:rPr/>
              <w:t>5,786</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584" w:type="dxa"/>
            <w:tcBorders/>
            <w:shd w:fill="CCEEFF" w:val="clear"/>
            <w:vAlign w:val="bottom"/>
          </w:tcPr>
          <w:p>
            <w:pPr>
              <w:pStyle w:val="TableContents"/>
              <w:bidi w:val="0"/>
              <w:spacing w:before="0" w:after="283"/>
              <w:jc w:val="right"/>
              <w:rPr/>
            </w:pPr>
            <w:r>
              <w:rPr/>
              <w:t>5,530</w:t>
            </w:r>
          </w:p>
        </w:tc>
        <w:tc>
          <w:tcPr>
            <w:tcW w:w="66" w:type="dxa"/>
            <w:tcBorders/>
            <w:shd w:fill="CCEEFF" w:val="clear"/>
            <w:vAlign w:val="bottom"/>
          </w:tcPr>
          <w:p>
            <w:pPr>
              <w:pStyle w:val="TableContents"/>
              <w:bidi w:val="0"/>
              <w:spacing w:before="0" w:after="283"/>
              <w:jc w:val="left"/>
              <w:rPr/>
            </w:pPr>
            <w:r>
              <w:rPr/>
              <w:t> </w:t>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Current period provision for credit losses</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1,622</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551</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256</w:t>
            </w:r>
          </w:p>
        </w:tc>
        <w:tc>
          <w:tcPr>
            <w:tcW w:w="66" w:type="dxa"/>
            <w:tcBorders/>
            <w:vAlign w:val="bottom"/>
          </w:tcPr>
          <w:p>
            <w:pPr>
              <w:pStyle w:val="TableContents"/>
              <w:bidi w:val="0"/>
              <w:spacing w:before="0" w:after="283"/>
              <w:jc w:val="left"/>
              <w:rPr/>
            </w:pPr>
            <w:r>
              <w:rPr/>
              <w:t> </w:t>
            </w:r>
          </w:p>
        </w:tc>
      </w:tr>
      <w:tr>
        <w:trPr/>
        <w:tc>
          <w:tcPr>
            <w:tcW w:w="5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100" w:type="dxa"/>
            <w:tcBorders/>
          </w:tcPr>
          <w:p>
            <w:pPr>
              <w:pStyle w:val="TableContents"/>
              <w:bidi w:val="0"/>
              <w:spacing w:before="0" w:after="0"/>
              <w:jc w:val="left"/>
              <w:rPr>
                <w:rFonts w:ascii="Times New Roman" w:hAnsi="Times New Roman"/>
                <w:sz w:val="20"/>
              </w:rPr>
            </w:pPr>
            <w:r>
              <w:rPr>
                <w:rFonts w:ascii="Times New Roman" w:hAnsi="Times New Roman"/>
                <w:sz w:val="20"/>
              </w:rPr>
              <w:t>Balance, end of year</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7,929</w:t>
            </w:r>
          </w:p>
        </w:tc>
        <w:tc>
          <w:tcPr>
            <w:tcW w:w="6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585" w:type="dxa"/>
            <w:tcBorders/>
            <w:vAlign w:val="bottom"/>
          </w:tcPr>
          <w:p>
            <w:pPr>
              <w:pStyle w:val="TableContents"/>
              <w:bidi w:val="0"/>
              <w:spacing w:before="0" w:after="283"/>
              <w:jc w:val="right"/>
              <w:rPr/>
            </w:pPr>
            <w:r>
              <w:rPr/>
              <w:t>6,307</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584" w:type="dxa"/>
            <w:tcBorders/>
            <w:vAlign w:val="bottom"/>
          </w:tcPr>
          <w:p>
            <w:pPr>
              <w:pStyle w:val="TableContents"/>
              <w:bidi w:val="0"/>
              <w:spacing w:before="0" w:after="283"/>
              <w:jc w:val="right"/>
              <w:rPr/>
            </w:pPr>
            <w:r>
              <w:rPr/>
              <w:t>5,786</w:t>
            </w:r>
          </w:p>
        </w:tc>
        <w:tc>
          <w:tcPr>
            <w:tcW w:w="66" w:type="dxa"/>
            <w:tcBorders/>
            <w:vAlign w:val="bottom"/>
          </w:tcPr>
          <w:p>
            <w:pPr>
              <w:pStyle w:val="TableContents"/>
              <w:bidi w:val="0"/>
              <w:spacing w:before="0" w:after="283"/>
              <w:jc w:val="left"/>
              <w:rPr/>
            </w:pPr>
            <w:r>
              <w:rPr/>
              <w:t> </w:t>
            </w:r>
          </w:p>
        </w:tc>
      </w:tr>
      <w:tr>
        <w:trPr/>
        <w:tc>
          <w:tcPr>
            <w:tcW w:w="510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5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584"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is recorded at cost. However, upon adoption of fresh-start accounting effective September 4, 2020, the Company’s property, plant and equipment recorded as of that date was adjusted to its estimated fair market value in accordance with ASC 852, </w:t>
      </w:r>
      <w:r>
        <w:rPr>
          <w:rFonts w:ascii="Times New Roman" w:hAnsi="Times New Roman"/>
          <w:i/>
          <w:sz w:val="20"/>
        </w:rPr>
        <w:t>Reorganizations</w:t>
      </w:r>
      <w:r>
        <w:rPr>
          <w:rFonts w:ascii="Times New Roman" w:hAnsi="Times New Roman"/>
          <w:sz w:val="20"/>
        </w:rPr>
        <w:t xml:space="preserve">.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depreciated over the remaining useful life of the vessel. Estimated useful lives and salvage values are reassessed when there are relevant indications that the original estimates may no longer be appropriate. Gains and losses from retirements or other dispositions are recognized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 estimated useful lives by classification are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66"/>
        <w:gridCol w:w="278"/>
        <w:gridCol w:w="60"/>
        <w:gridCol w:w="974"/>
        <w:gridCol w:w="61"/>
      </w:tblGrid>
      <w:tr>
        <w:trPr/>
        <w:tc>
          <w:tcPr>
            <w:tcW w:w="5566"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Offshore supply vessels</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25 years</w:t>
            </w:r>
          </w:p>
        </w:tc>
        <w:tc>
          <w:tcPr>
            <w:tcW w:w="61" w:type="dxa"/>
            <w:tcBorders/>
            <w:shd w:fill="CCEEFF" w:val="clear"/>
            <w:vAlign w:val="bottom"/>
          </w:tcPr>
          <w:p>
            <w:pPr>
              <w:pStyle w:val="TableContents"/>
              <w:bidi w:val="0"/>
              <w:spacing w:before="0" w:after="283"/>
              <w:jc w:val="left"/>
              <w:rPr/>
            </w:pPr>
            <w:r>
              <w:rPr/>
              <w:t> </w:t>
            </w:r>
          </w:p>
        </w:tc>
      </w:tr>
      <w:tr>
        <w:trPr/>
        <w:tc>
          <w:tcPr>
            <w:tcW w:w="556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Multi-purpose support vessels</w:t>
            </w:r>
          </w:p>
        </w:tc>
        <w:tc>
          <w:tcPr>
            <w:tcW w:w="2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25 years</w:t>
            </w:r>
          </w:p>
        </w:tc>
        <w:tc>
          <w:tcPr>
            <w:tcW w:w="61" w:type="dxa"/>
            <w:tcBorders/>
            <w:vAlign w:val="bottom"/>
          </w:tcPr>
          <w:p>
            <w:pPr>
              <w:pStyle w:val="TableContents"/>
              <w:bidi w:val="0"/>
              <w:spacing w:before="0" w:after="283"/>
              <w:jc w:val="left"/>
              <w:rPr/>
            </w:pPr>
            <w:r>
              <w:rPr/>
              <w:t> </w:t>
            </w:r>
          </w:p>
        </w:tc>
      </w:tr>
      <w:tr>
        <w:trPr/>
        <w:tc>
          <w:tcPr>
            <w:tcW w:w="55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Non-vessel property, plant and equipment</w:t>
            </w:r>
          </w:p>
        </w:tc>
        <w:tc>
          <w:tcPr>
            <w:tcW w:w="2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3-15 years</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Deferred Charges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Mobilization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occasionally incurs mobilization costs to prepare its vessels and/or transit them to and from certain regions in order to obtain and fulfill vessel charter contracts. These contract-specific costs are typically expensed as incurred, but may in certain circumstances be deferred and amortized over the contract term dependent upon criteria set forth in ASC 606, </w:t>
      </w:r>
      <w:r>
        <w:rPr>
          <w:rFonts w:ascii="Times New Roman" w:hAnsi="Times New Roman"/>
          <w:i/>
          <w:sz w:val="20"/>
        </w:rPr>
        <w:t>Revenue from Contracts with Customers</w:t>
      </w:r>
      <w:r>
        <w:rPr>
          <w:rFonts w:ascii="Times New Roman" w:hAnsi="Times New Roman"/>
          <w:sz w:val="20"/>
        </w:rPr>
        <w:t xml:space="preserve">, and ASC 340, </w:t>
      </w:r>
      <w:r>
        <w:rPr>
          <w:rFonts w:ascii="Times New Roman" w:hAnsi="Times New Roman"/>
          <w:i/>
          <w:sz w:val="20"/>
        </w:rPr>
        <w:t>Other Assets and Deferred Costs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Stock-based compensation awards are accounted for in accordance with ASC 718, </w:t>
      </w:r>
      <w:r>
        <w:rPr>
          <w:rFonts w:ascii="Times New Roman" w:hAnsi="Times New Roman"/>
          <w:i/>
          <w:sz w:val="20"/>
        </w:rPr>
        <w:t>Compensation – Stock</w:t>
      </w:r>
      <w:r>
        <w:rPr>
          <w:rFonts w:ascii="Times New Roman" w:hAnsi="Times New Roman"/>
          <w:sz w:val="20"/>
        </w:rPr>
        <w:t xml:space="preserve"> </w:t>
      </w:r>
      <w:r>
        <w:rPr>
          <w:rFonts w:ascii="Times New Roman" w:hAnsi="Times New Roman"/>
          <w:i/>
          <w:sz w:val="20"/>
        </w:rPr>
        <w:t xml:space="preserve">Compensation, </w:t>
      </w:r>
      <w:r>
        <w:rPr>
          <w:rFonts w:ascii="Times New Roman" w:hAnsi="Times New Roman"/>
          <w:sz w:val="20"/>
        </w:rPr>
        <w:t xml:space="preserve">which requires all share-based payments to the Company’s employees and directors to be recognized in the consolidated financial 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 The Company established valuation allowances of $220.6 million and $264.6 million against its deferred tax assets as of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made an accounting policy election to account for global intangible low-taxed income, or GILTI, in the year the tax is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United States generally accepted accounting principles requires management to make estimates and assumptions that affect the amounts reported in the consolidated financial statements and accompanying notes. Actual results could differ from those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 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Currency Transaction Gains and Losses </w:t>
      </w:r>
    </w:p>
    <w:p>
      <w:pPr>
        <w:pStyle w:val="TextBody"/>
        <w:bidi w:val="0"/>
        <w:spacing w:before="120" w:after="0"/>
        <w:jc w:val="left"/>
        <w:rPr>
          <w:rFonts w:ascii="Times New Roman" w:hAnsi="Times New Roman"/>
          <w:sz w:val="20"/>
        </w:rPr>
      </w:pPr>
      <w:r>
        <w:rPr>
          <w:rFonts w:ascii="Times New Roman" w:hAnsi="Times New Roman"/>
          <w:sz w:val="20"/>
        </w:rPr>
        <w:t xml:space="preserve">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(loss). The balances in accumulated other comprehensive income (loss) as of December 31, 2024, 2023 and 2022 relate primarily to the Company’s long-term investments in its foreign subsidiaries.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Common stock warrants are accounted for as either equity instruments or liabilities depending on the specific terms of the applicable warrant agreement. Warrants that are classified as liabilities are recorded at their estimated fair value on a recurring basis at each balance sheet date. Changes in the estimated fair value of such warrants are recognized as a non-cash gain or loss on the consolidated statements of operations. All outstanding warrants are reassessed each reporting period to determine whether their classification continues to be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Fair Value of Financial Instruments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 w:hAnsi="Times New Roman"/>
          <w:i/>
          <w:sz w:val="20"/>
        </w:rPr>
        <w:t>Fair Value Measurements</w:t>
      </w:r>
      <w:r>
        <w:rPr>
          <w:rFonts w:ascii="Times New Roman" w:hAnsi="Times New Roman"/>
          <w:sz w:val="20"/>
        </w:rPr>
        <w:t xml:space="preserve">. Each applicable asset and liability carried at fair value is required to be classified into one of the following categories: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Quoted market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Observable market-based inputs or observable inputs that are corroborated by market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Unobservable inputs that are not corroborated by market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Fair value is calculated based on assumptions that market participants would use in pricing assets and liabilities. Significant judgments are required in the determination of these assumptions. </w:t>
      </w:r>
    </w:p>
    <w:p>
      <w:pPr>
        <w:pStyle w:val="TextBody"/>
        <w:bidi w:val="0"/>
        <w:spacing w:before="360" w:after="0"/>
        <w:jc w:val="left"/>
        <w:rPr>
          <w:rFonts w:ascii="Times New Roman" w:hAnsi="Times New Roman"/>
          <w:b/>
          <w:i/>
          <w:sz w:val="20"/>
        </w:rPr>
      </w:pPr>
      <w:r>
        <w:rPr>
          <w:rFonts w:ascii="Times New Roman" w:hAnsi="Times New Roman"/>
          <w:b/>
          <w:i/>
          <w:sz w:val="20"/>
        </w:rPr>
        <w:t>Leases</w:t>
      </w:r>
    </w:p>
    <w:p>
      <w:pPr>
        <w:pStyle w:val="TextBody"/>
        <w:bidi w:val="0"/>
        <w:spacing w:before="120" w:after="0"/>
        <w:jc w:val="left"/>
        <w:rPr>
          <w:rFonts w:ascii="Times New Roman" w:hAnsi="Times New Roman"/>
          <w:sz w:val="20"/>
        </w:rPr>
      </w:pPr>
      <w:r>
        <w:rPr>
          <w:rFonts w:ascii="Times New Roman" w:hAnsi="Times New Roman"/>
          <w:sz w:val="20"/>
        </w:rPr>
        <w:t xml:space="preserve">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The Company uses its incremental borrowing rate, which would be the rate incurred to borrow on a collateralized basis over a similar term in a similar economic environment, to calculate the present value of lease payments for its operating leases. The Company uses the rate implicit in the lease for its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obligated under certain operating leases for shore-based facilities, office space, temporary housing and equipment. The Company is obligated under finance leases for vehicles.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finance leases contain residual value guarantees, which may require additional payments at the end of the lease term if the net book value of the vehicle is less than the greater of the wholesale value of such vehicle or 20% of the delivered price of the vehicle. </w:t>
      </w:r>
    </w:p>
    <w:p>
      <w:pPr>
        <w:pStyle w:val="TextBody"/>
        <w:bidi w:val="0"/>
        <w:spacing w:before="240" w:after="0"/>
        <w:jc w:val="left"/>
        <w:rPr>
          <w:rFonts w:ascii="Times New Roman" w:hAnsi="Times New Roman"/>
          <w:sz w:val="20"/>
        </w:rPr>
      </w:pPr>
      <w:r>
        <w:rPr>
          <w:rFonts w:ascii="Times New Roman" w:hAnsi="Times New Roman"/>
          <w:sz w:val="20"/>
        </w:rPr>
        <w:t xml:space="preserve">For leases with a term of 12 months or less, the Company has made a policy election in which the right-of-use asset and lease liability will not be recognized on its balance sheet.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Reportable Segments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of particular assets to any specific geographic region or customer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3. 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brief description of recent accounting pronouncements that could have a material effect on the Company’s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91"/>
        <w:gridCol w:w="202"/>
        <w:gridCol w:w="2939"/>
        <w:gridCol w:w="202"/>
        <w:gridCol w:w="1666"/>
        <w:gridCol w:w="120"/>
        <w:gridCol w:w="2785"/>
      </w:tblGrid>
      <w:tr>
        <w:trPr/>
        <w:tc>
          <w:tcPr>
            <w:tcW w:w="229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r>
      <w:tr>
        <w:trPr/>
        <w:tc>
          <w:tcPr>
            <w:tcW w:w="229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Standard</w:t>
            </w:r>
          </w:p>
        </w:tc>
        <w:tc>
          <w:tcPr>
            <w:tcW w:w="202" w:type="dxa"/>
            <w:tcBorders/>
            <w:vAlign w:val="bottom"/>
          </w:tcPr>
          <w:p>
            <w:pPr>
              <w:pStyle w:val="TableContents"/>
              <w:bidi w:val="0"/>
              <w:spacing w:before="0" w:after="283"/>
              <w:jc w:val="left"/>
              <w:rPr/>
            </w:pPr>
            <w:r>
              <w:rPr/>
              <w:t>  </w:t>
            </w:r>
          </w:p>
        </w:tc>
        <w:tc>
          <w:tcPr>
            <w:tcW w:w="29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02" w:type="dxa"/>
            <w:tcBorders/>
            <w:vAlign w:val="bottom"/>
          </w:tcPr>
          <w:p>
            <w:pPr>
              <w:pStyle w:val="TableContents"/>
              <w:bidi w:val="0"/>
              <w:spacing w:before="0" w:after="283"/>
              <w:jc w:val="left"/>
              <w:rPr/>
            </w:pPr>
            <w:r>
              <w:rPr/>
              <w:t>  </w:t>
            </w:r>
          </w:p>
        </w:tc>
        <w:tc>
          <w:tcPr>
            <w:tcW w:w="16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Adoption</w:t>
            </w:r>
          </w:p>
        </w:tc>
        <w:tc>
          <w:tcPr>
            <w:tcW w:w="120" w:type="dxa"/>
            <w:tcBorders/>
            <w:vAlign w:val="bottom"/>
          </w:tcPr>
          <w:p>
            <w:pPr>
              <w:pStyle w:val="TableContents"/>
              <w:bidi w:val="0"/>
              <w:spacing w:before="0" w:after="283"/>
              <w:jc w:val="left"/>
              <w:rPr/>
            </w:pPr>
            <w:r>
              <w:rPr/>
              <w:t>  </w:t>
            </w:r>
          </w:p>
        </w:tc>
        <w:tc>
          <w:tcPr>
            <w:tcW w:w="27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c>
          <w:tcPr>
            <w:tcW w:w="2291" w:type="dxa"/>
            <w:tcBorders/>
          </w:tcPr>
          <w:p>
            <w:pPr>
              <w:pStyle w:val="TableContents"/>
              <w:bidi w:val="0"/>
              <w:spacing w:before="0" w:after="283"/>
              <w:jc w:val="left"/>
              <w:rPr>
                <w:i/>
              </w:rPr>
            </w:pPr>
            <w:r>
              <w:rPr>
                <w:i/>
              </w:rPr>
              <w:t>Standards that have been adopted:</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sz w:val="4"/>
                <w:szCs w:val="4"/>
              </w:rPr>
            </w:pPr>
            <w:r>
              <w:rPr>
                <w:sz w:val="4"/>
                <w:szCs w:val="4"/>
              </w:rPr>
            </w:r>
          </w:p>
        </w:tc>
      </w:tr>
      <w:tr>
        <w:trPr>
          <w:trHeight w:val="120" w:hRule="atLeast"/>
        </w:trPr>
        <w:tc>
          <w:tcPr>
            <w:tcW w:w="2291" w:type="dxa"/>
            <w:tcBorders/>
            <w:vAlign w:val="center"/>
          </w:tcPr>
          <w:p>
            <w:pPr>
              <w:pStyle w:val="TableContents"/>
              <w:bidi w:val="0"/>
              <w:spacing w:before="0" w:after="283"/>
              <w:jc w:val="left"/>
              <w:rPr>
                <w:sz w:val="4"/>
                <w:szCs w:val="4"/>
              </w:rPr>
            </w:pPr>
            <w:r>
              <w:rPr>
                <w:sz w:val="4"/>
                <w:szCs w:val="4"/>
              </w:rPr>
            </w:r>
          </w:p>
        </w:tc>
        <w:tc>
          <w:tcPr>
            <w:tcW w:w="3141" w:type="dxa"/>
            <w:gridSpan w:val="2"/>
            <w:tcBorders/>
            <w:vAlign w:val="center"/>
          </w:tcPr>
          <w:p>
            <w:pPr>
              <w:pStyle w:val="TableContents"/>
              <w:bidi w:val="0"/>
              <w:spacing w:before="0" w:after="283"/>
              <w:jc w:val="left"/>
              <w:rPr>
                <w:sz w:val="4"/>
                <w:szCs w:val="4"/>
              </w:rPr>
            </w:pPr>
            <w:r>
              <w:rPr>
                <w:sz w:val="4"/>
                <w:szCs w:val="4"/>
              </w:rPr>
            </w:r>
          </w:p>
        </w:tc>
        <w:tc>
          <w:tcPr>
            <w:tcW w:w="1868" w:type="dxa"/>
            <w:gridSpan w:val="2"/>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2291" w:type="dxa"/>
            <w:tcBorders/>
          </w:tcPr>
          <w:p>
            <w:pPr>
              <w:pStyle w:val="TableContents"/>
              <w:bidi w:val="0"/>
              <w:spacing w:before="0" w:after="283"/>
              <w:jc w:val="left"/>
              <w:rPr>
                <w:i/>
              </w:rPr>
            </w:pPr>
            <w:r>
              <w:rPr>
                <w:i/>
              </w:rPr>
              <w:t>ASU No. 2023-07, Segment Reporting (Topic 280): Improvements to Reportable Segment Disclosures</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The amendments in this update improve reportable segment disclosure requirements, primarily related to significant segment expenses. In addition, the amendments enhance interim disclosures, clarify circumstances in which an entity can disclose multiple segment measures of profit or loss, provide new disclosure requirements for entities with a single reportable segment, and contain other related disclosure requirements. Retrospective application is required.</w:t>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Effective for fiscal years beginning after December 15, 2023, and interim periods within fiscal years beginning after December 15, 2024. Early adoption is permitted.</w:t>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pPr>
            <w:r>
              <w:rPr/>
              <w:t>The Company adopted the annual reporting requirements under ASU No. 2023-07 on January 1, 2024 and will implement the interim disclosure requirements in fiscal year 2025. This adoption had no material impact on its consolidated financial statements.</w:t>
            </w:r>
          </w:p>
        </w:tc>
      </w:tr>
      <w:tr>
        <w:trPr/>
        <w:tc>
          <w:tcPr>
            <w:tcW w:w="2291" w:type="dxa"/>
            <w:tcBorders/>
          </w:tcPr>
          <w:p>
            <w:pPr>
              <w:pStyle w:val="TableContents"/>
              <w:bidi w:val="0"/>
              <w:spacing w:before="0" w:after="283"/>
              <w:jc w:val="left"/>
              <w:rPr>
                <w:i/>
              </w:rPr>
            </w:pPr>
            <w:r>
              <w:rPr>
                <w:i/>
              </w:rPr>
              <w:t>Standards that have not been adopted:</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sz w:val="4"/>
                <w:szCs w:val="4"/>
              </w:rPr>
            </w:pPr>
            <w:r>
              <w:rPr>
                <w:sz w:val="4"/>
                <w:szCs w:val="4"/>
              </w:rPr>
            </w:r>
          </w:p>
        </w:tc>
      </w:tr>
      <w:tr>
        <w:trPr>
          <w:trHeight w:val="120" w:hRule="atLeast"/>
        </w:trPr>
        <w:tc>
          <w:tcPr>
            <w:tcW w:w="2291" w:type="dxa"/>
            <w:tcBorders/>
            <w:vAlign w:val="center"/>
          </w:tcPr>
          <w:p>
            <w:pPr>
              <w:pStyle w:val="TableContents"/>
              <w:bidi w:val="0"/>
              <w:spacing w:before="0" w:after="283"/>
              <w:jc w:val="left"/>
              <w:rPr>
                <w:sz w:val="4"/>
                <w:szCs w:val="4"/>
              </w:rPr>
            </w:pPr>
            <w:r>
              <w:rPr>
                <w:sz w:val="4"/>
                <w:szCs w:val="4"/>
              </w:rPr>
            </w:r>
          </w:p>
        </w:tc>
        <w:tc>
          <w:tcPr>
            <w:tcW w:w="3141" w:type="dxa"/>
            <w:gridSpan w:val="2"/>
            <w:tcBorders/>
            <w:vAlign w:val="center"/>
          </w:tcPr>
          <w:p>
            <w:pPr>
              <w:pStyle w:val="TableContents"/>
              <w:bidi w:val="0"/>
              <w:spacing w:before="0" w:after="283"/>
              <w:jc w:val="left"/>
              <w:rPr>
                <w:sz w:val="4"/>
                <w:szCs w:val="4"/>
              </w:rPr>
            </w:pPr>
            <w:r>
              <w:rPr>
                <w:sz w:val="4"/>
                <w:szCs w:val="4"/>
              </w:rPr>
            </w:r>
          </w:p>
        </w:tc>
        <w:tc>
          <w:tcPr>
            <w:tcW w:w="1868" w:type="dxa"/>
            <w:gridSpan w:val="2"/>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2291" w:type="dxa"/>
            <w:tcBorders/>
          </w:tcPr>
          <w:p>
            <w:pPr>
              <w:pStyle w:val="TableContents"/>
              <w:bidi w:val="0"/>
              <w:spacing w:before="0" w:after="283"/>
              <w:jc w:val="left"/>
              <w:rPr>
                <w:i/>
              </w:rPr>
            </w:pPr>
            <w:r>
              <w:rPr>
                <w:i/>
              </w:rPr>
              <w:t>ASU No. 2023-05, Business Combinations —Joint Venture Formations (Subtopic 805-60): Recognition and Initial Measurement</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This standard requires a joint venture to initially measure all contributions received upon its formation at fair value. ASU No. 2023-05 requires prospective application for all newly-formed joint venture entities with a formation date on or after January 1, 2025. Joint ventures formed prior to the adoption date may elect to apply the guidance retrospectively back to their original formation date. Early adoption is permitted.</w:t>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January 1, 2025</w:t>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pPr>
            <w:r>
              <w:rPr/>
              <w:t>The Company will adopt ASU No. 2023-05 on January 1, 2025 and elect to apply the standard prospectively. The Company does not believe implementation will have a material impact on its consolidated financial statements.</w:t>
            </w:r>
          </w:p>
        </w:tc>
      </w:tr>
      <w:tr>
        <w:trPr>
          <w:trHeight w:val="120" w:hRule="atLeast"/>
        </w:trPr>
        <w:tc>
          <w:tcPr>
            <w:tcW w:w="2291" w:type="dxa"/>
            <w:tcBorders/>
            <w:vAlign w:val="center"/>
          </w:tcPr>
          <w:p>
            <w:pPr>
              <w:pStyle w:val="TableContents"/>
              <w:bidi w:val="0"/>
              <w:spacing w:before="0" w:after="283"/>
              <w:jc w:val="left"/>
              <w:rPr>
                <w:sz w:val="4"/>
                <w:szCs w:val="4"/>
              </w:rPr>
            </w:pPr>
            <w:r>
              <w:rPr>
                <w:sz w:val="4"/>
                <w:szCs w:val="4"/>
              </w:rPr>
            </w:r>
          </w:p>
        </w:tc>
        <w:tc>
          <w:tcPr>
            <w:tcW w:w="3141" w:type="dxa"/>
            <w:gridSpan w:val="2"/>
            <w:tcBorders/>
            <w:vAlign w:val="center"/>
          </w:tcPr>
          <w:p>
            <w:pPr>
              <w:pStyle w:val="TableContents"/>
              <w:bidi w:val="0"/>
              <w:spacing w:before="0" w:after="283"/>
              <w:jc w:val="left"/>
              <w:rPr>
                <w:sz w:val="4"/>
                <w:szCs w:val="4"/>
              </w:rPr>
            </w:pPr>
            <w:r>
              <w:rPr>
                <w:sz w:val="4"/>
                <w:szCs w:val="4"/>
              </w:rPr>
            </w:r>
          </w:p>
        </w:tc>
        <w:tc>
          <w:tcPr>
            <w:tcW w:w="1868" w:type="dxa"/>
            <w:gridSpan w:val="2"/>
            <w:tcBorders/>
            <w:vAlign w:val="center"/>
          </w:tcPr>
          <w:p>
            <w:pPr>
              <w:pStyle w:val="TableContents"/>
              <w:bidi w:val="0"/>
              <w:spacing w:before="0" w:after="283"/>
              <w:jc w:val="left"/>
              <w:rPr>
                <w:sz w:val="4"/>
                <w:szCs w:val="4"/>
              </w:rPr>
            </w:pPr>
            <w:r>
              <w:rPr>
                <w:sz w:val="4"/>
                <w:szCs w:val="4"/>
              </w:rPr>
            </w:r>
          </w:p>
        </w:tc>
        <w:tc>
          <w:tcPr>
            <w:tcW w:w="2905" w:type="dxa"/>
            <w:gridSpan w:val="2"/>
            <w:tcBorders/>
            <w:vAlign w:val="center"/>
          </w:tcPr>
          <w:p>
            <w:pPr>
              <w:pStyle w:val="TableContents"/>
              <w:bidi w:val="0"/>
              <w:spacing w:before="0" w:after="283"/>
              <w:jc w:val="left"/>
              <w:rPr>
                <w:sz w:val="4"/>
                <w:szCs w:val="4"/>
              </w:rPr>
            </w:pPr>
            <w:r>
              <w:rPr>
                <w:sz w:val="4"/>
                <w:szCs w:val="4"/>
              </w:rPr>
            </w:r>
          </w:p>
        </w:tc>
      </w:tr>
      <w:tr>
        <w:trPr/>
        <w:tc>
          <w:tcPr>
            <w:tcW w:w="2291" w:type="dxa"/>
            <w:tcBorders/>
          </w:tcPr>
          <w:p>
            <w:pPr>
              <w:pStyle w:val="TableContents"/>
              <w:bidi w:val="0"/>
              <w:spacing w:before="0" w:after="283"/>
              <w:jc w:val="left"/>
              <w:rPr>
                <w:i/>
              </w:rPr>
            </w:pPr>
            <w:r>
              <w:rPr>
                <w:i/>
              </w:rPr>
              <w:t>ASU No. 2023-09, Income Taxes (Topic 740): Improvements to Income Tax Disclosures</w:t>
            </w:r>
          </w:p>
        </w:tc>
        <w:tc>
          <w:tcPr>
            <w:tcW w:w="202"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This standard requires disaggregated information about a reporting entity’s effective tax rate reconciliation, as well as information on income taxes paid. ASU No. 2023-09 requires prospective application with the option to apply the standard retrospectively. Early adoption is permitted.</w:t>
            </w:r>
          </w:p>
        </w:tc>
        <w:tc>
          <w:tcPr>
            <w:tcW w:w="202" w:type="dxa"/>
            <w:tcBorders/>
            <w:vAlign w:val="bottom"/>
          </w:tcPr>
          <w:p>
            <w:pPr>
              <w:pStyle w:val="TableContents"/>
              <w:bidi w:val="0"/>
              <w:spacing w:before="0" w:after="283"/>
              <w:jc w:val="left"/>
              <w:rPr/>
            </w:pPr>
            <w:r>
              <w:rPr/>
              <w:t>  </w:t>
            </w:r>
          </w:p>
        </w:tc>
        <w:tc>
          <w:tcPr>
            <w:tcW w:w="1666" w:type="dxa"/>
            <w:tcBorders/>
          </w:tcPr>
          <w:p>
            <w:pPr>
              <w:pStyle w:val="TableContents"/>
              <w:bidi w:val="0"/>
              <w:spacing w:before="0" w:after="283"/>
              <w:jc w:val="left"/>
              <w:rPr/>
            </w:pPr>
            <w:r>
              <w:rPr/>
              <w:t>January 1, 2026</w:t>
            </w:r>
          </w:p>
        </w:tc>
        <w:tc>
          <w:tcPr>
            <w:tcW w:w="120" w:type="dxa"/>
            <w:tcBorders/>
            <w:vAlign w:val="bottom"/>
          </w:tcPr>
          <w:p>
            <w:pPr>
              <w:pStyle w:val="TableContents"/>
              <w:bidi w:val="0"/>
              <w:spacing w:before="0" w:after="283"/>
              <w:jc w:val="left"/>
              <w:rPr/>
            </w:pPr>
            <w:r>
              <w:rPr/>
              <w:t>  </w:t>
            </w:r>
          </w:p>
        </w:tc>
        <w:tc>
          <w:tcPr>
            <w:tcW w:w="2785" w:type="dxa"/>
            <w:tcBorders/>
          </w:tcPr>
          <w:p>
            <w:pPr>
              <w:pStyle w:val="TableContents"/>
              <w:bidi w:val="0"/>
              <w:spacing w:before="0" w:after="283"/>
              <w:jc w:val="left"/>
              <w:rPr/>
            </w:pPr>
            <w:r>
              <w:rPr/>
              <w:t>The Company will adopt ASU No. 2023-09 on January 1, 2026 and elect to apply the standard prospectively. The Company does not believe that the implementation of this guidance will have a material impact on its consolidated financial statements.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347"/>
        <w:gridCol w:w="204"/>
        <w:gridCol w:w="2963"/>
        <w:gridCol w:w="204"/>
        <w:gridCol w:w="1563"/>
        <w:gridCol w:w="120"/>
        <w:gridCol w:w="2804"/>
      </w:tblGrid>
      <w:tr>
        <w:trPr/>
        <w:tc>
          <w:tcPr>
            <w:tcW w:w="234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r>
      <w:tr>
        <w:trPr/>
        <w:tc>
          <w:tcPr>
            <w:tcW w:w="234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Standard</w:t>
            </w:r>
          </w:p>
        </w:tc>
        <w:tc>
          <w:tcPr>
            <w:tcW w:w="204" w:type="dxa"/>
            <w:tcBorders/>
            <w:vAlign w:val="bottom"/>
          </w:tcPr>
          <w:p>
            <w:pPr>
              <w:pStyle w:val="TableContents"/>
              <w:bidi w:val="0"/>
              <w:spacing w:before="0" w:after="283"/>
              <w:jc w:val="left"/>
              <w:rPr/>
            </w:pPr>
            <w:r>
              <w:rPr/>
              <w:t>  </w:t>
            </w:r>
          </w:p>
        </w:tc>
        <w:tc>
          <w:tcPr>
            <w:tcW w:w="29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04" w:type="dxa"/>
            <w:tcBorders/>
            <w:vAlign w:val="bottom"/>
          </w:tcPr>
          <w:p>
            <w:pPr>
              <w:pStyle w:val="TableContents"/>
              <w:bidi w:val="0"/>
              <w:spacing w:before="0" w:after="283"/>
              <w:jc w:val="left"/>
              <w:rPr/>
            </w:pPr>
            <w:r>
              <w:rPr/>
              <w:t>  </w:t>
            </w:r>
          </w:p>
        </w:tc>
        <w:tc>
          <w:tcPr>
            <w:tcW w:w="156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 of Adoption</w:t>
            </w:r>
          </w:p>
        </w:tc>
        <w:tc>
          <w:tcPr>
            <w:tcW w:w="120" w:type="dxa"/>
            <w:tcBorders/>
            <w:vAlign w:val="bottom"/>
          </w:tcPr>
          <w:p>
            <w:pPr>
              <w:pStyle w:val="TableContents"/>
              <w:bidi w:val="0"/>
              <w:spacing w:before="0" w:after="283"/>
              <w:jc w:val="left"/>
              <w:rPr/>
            </w:pPr>
            <w:r>
              <w:rPr/>
              <w:t>  </w:t>
            </w:r>
          </w:p>
        </w:tc>
        <w:tc>
          <w:tcPr>
            <w:tcW w:w="28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Effect on the financial</w:t>
              <w:br/>
              <w:t>statements and other</w:t>
              <w:br/>
              <w:t>significant matters</w:t>
            </w:r>
          </w:p>
        </w:tc>
      </w:tr>
      <w:tr>
        <w:trPr/>
        <w:tc>
          <w:tcPr>
            <w:tcW w:w="2347" w:type="dxa"/>
            <w:tcBorders/>
          </w:tcPr>
          <w:p>
            <w:pPr>
              <w:pStyle w:val="TableContents"/>
              <w:bidi w:val="0"/>
              <w:spacing w:before="0" w:after="283"/>
              <w:jc w:val="left"/>
              <w:rPr>
                <w:i/>
              </w:rPr>
            </w:pPr>
            <w:r>
              <w:rPr>
                <w:i/>
              </w:rPr>
              <w:t>ASU No. 2024-01, Compensation—Stock Compensation (Topic 718): Scope Application of Profits Interest and Similar Awards</w:t>
            </w:r>
          </w:p>
        </w:tc>
        <w:tc>
          <w:tcPr>
            <w:tcW w:w="20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r>
              <w:rPr/>
              <w:t>This standard clarifies how an entity determines whether a profits interest or similar award is (1) within the scope of ASC 718 or (2) not a share-based payment arrangement and therefore within the scope of other guidance. ASU No. 2024-01 may be applied prospectively or retrospectively. Early adoption is permitted.</w:t>
            </w:r>
          </w:p>
        </w:tc>
        <w:tc>
          <w:tcPr>
            <w:tcW w:w="204" w:type="dxa"/>
            <w:tcBorders/>
            <w:vAlign w:val="bottom"/>
          </w:tcPr>
          <w:p>
            <w:pPr>
              <w:pStyle w:val="TableContents"/>
              <w:bidi w:val="0"/>
              <w:spacing w:before="0" w:after="283"/>
              <w:jc w:val="left"/>
              <w:rPr/>
            </w:pPr>
            <w:r>
              <w:rPr/>
              <w:t>  </w:t>
            </w:r>
          </w:p>
        </w:tc>
        <w:tc>
          <w:tcPr>
            <w:tcW w:w="1563" w:type="dxa"/>
            <w:tcBorders/>
          </w:tcPr>
          <w:p>
            <w:pPr>
              <w:pStyle w:val="TableContents"/>
              <w:bidi w:val="0"/>
              <w:spacing w:before="0" w:after="283"/>
              <w:jc w:val="left"/>
              <w:rPr/>
            </w:pPr>
            <w:r>
              <w:rPr/>
              <w:t>January 1, 2026</w:t>
            </w:r>
          </w:p>
        </w:tc>
        <w:tc>
          <w:tcPr>
            <w:tcW w:w="120" w:type="dxa"/>
            <w:tcBorders/>
            <w:vAlign w:val="bottom"/>
          </w:tcPr>
          <w:p>
            <w:pPr>
              <w:pStyle w:val="TableContents"/>
              <w:bidi w:val="0"/>
              <w:spacing w:before="0" w:after="283"/>
              <w:jc w:val="left"/>
              <w:rPr/>
            </w:pPr>
            <w:r>
              <w:rPr/>
              <w:t>  </w:t>
            </w:r>
          </w:p>
        </w:tc>
        <w:tc>
          <w:tcPr>
            <w:tcW w:w="2804" w:type="dxa"/>
            <w:tcBorders/>
          </w:tcPr>
          <w:p>
            <w:pPr>
              <w:pStyle w:val="TableContents"/>
              <w:bidi w:val="0"/>
              <w:spacing w:before="0" w:after="283"/>
              <w:jc w:val="left"/>
              <w:rPr/>
            </w:pPr>
            <w:r>
              <w:rPr/>
              <w:t>The Company will adopt ASU No. 2024-01 on January 1, 2026 and elect to apply the standard prospectively. The Company does not believe implementation will have a material impact on its consolidated financial statements.</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3167" w:type="dxa"/>
            <w:gridSpan w:val="2"/>
            <w:tcBorders/>
            <w:vAlign w:val="center"/>
          </w:tcPr>
          <w:p>
            <w:pPr>
              <w:pStyle w:val="TableContents"/>
              <w:bidi w:val="0"/>
              <w:spacing w:before="0" w:after="283"/>
              <w:jc w:val="left"/>
              <w:rPr>
                <w:sz w:val="4"/>
                <w:szCs w:val="4"/>
              </w:rPr>
            </w:pPr>
            <w:r>
              <w:rPr>
                <w:sz w:val="4"/>
                <w:szCs w:val="4"/>
              </w:rPr>
            </w:r>
          </w:p>
        </w:tc>
        <w:tc>
          <w:tcPr>
            <w:tcW w:w="1767" w:type="dxa"/>
            <w:gridSpan w:val="2"/>
            <w:tcBorders/>
            <w:vAlign w:val="center"/>
          </w:tcPr>
          <w:p>
            <w:pPr>
              <w:pStyle w:val="TableContents"/>
              <w:bidi w:val="0"/>
              <w:spacing w:before="0" w:after="283"/>
              <w:jc w:val="left"/>
              <w:rPr>
                <w:sz w:val="4"/>
                <w:szCs w:val="4"/>
              </w:rPr>
            </w:pPr>
            <w:r>
              <w:rPr>
                <w:sz w:val="4"/>
                <w:szCs w:val="4"/>
              </w:rPr>
            </w:r>
          </w:p>
        </w:tc>
        <w:tc>
          <w:tcPr>
            <w:tcW w:w="2924"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i/>
              </w:rPr>
            </w:pPr>
            <w:r>
              <w:rPr>
                <w:i/>
              </w:rPr>
              <w:t>ASU No. 2024-03, Income Statement— Reporting Comprehensive Income —Expense Disaggregation Disclosures (Subtopic 220-40): Disaggregation of Income Statement Expenses</w:t>
            </w:r>
          </w:p>
        </w:tc>
        <w:tc>
          <w:tcPr>
            <w:tcW w:w="204" w:type="dxa"/>
            <w:tcBorders/>
            <w:vAlign w:val="bottom"/>
          </w:tcPr>
          <w:p>
            <w:pPr>
              <w:pStyle w:val="TableContents"/>
              <w:bidi w:val="0"/>
              <w:spacing w:before="0" w:after="283"/>
              <w:jc w:val="left"/>
              <w:rPr/>
            </w:pPr>
            <w:r>
              <w:rPr/>
              <w:t>  </w:t>
            </w:r>
          </w:p>
        </w:tc>
        <w:tc>
          <w:tcPr>
            <w:tcW w:w="2963" w:type="dxa"/>
            <w:tcBorders/>
          </w:tcPr>
          <w:p>
            <w:pPr>
              <w:pStyle w:val="TableContents"/>
              <w:bidi w:val="0"/>
              <w:spacing w:before="0" w:after="283"/>
              <w:jc w:val="left"/>
              <w:rPr/>
            </w:pPr>
            <w:r>
              <w:rPr/>
              <w:t>This standard improves the disclosures about an entity’s expenses and addresses requests from investors for more detailed information about the types of expenses in commonly presented expense captions. ASU No. 2024-03 may be applied prospectively or retrospectively. Early adoption is permitted.</w:t>
            </w:r>
          </w:p>
        </w:tc>
        <w:tc>
          <w:tcPr>
            <w:tcW w:w="204" w:type="dxa"/>
            <w:tcBorders/>
            <w:vAlign w:val="bottom"/>
          </w:tcPr>
          <w:p>
            <w:pPr>
              <w:pStyle w:val="TableContents"/>
              <w:bidi w:val="0"/>
              <w:spacing w:before="0" w:after="283"/>
              <w:jc w:val="left"/>
              <w:rPr/>
            </w:pPr>
            <w:r>
              <w:rPr/>
              <w:t>  </w:t>
            </w:r>
          </w:p>
        </w:tc>
        <w:tc>
          <w:tcPr>
            <w:tcW w:w="1563" w:type="dxa"/>
            <w:tcBorders/>
          </w:tcPr>
          <w:p>
            <w:pPr>
              <w:pStyle w:val="TableContents"/>
              <w:bidi w:val="0"/>
              <w:spacing w:before="0" w:after="283"/>
              <w:jc w:val="left"/>
              <w:rPr/>
            </w:pPr>
            <w:r>
              <w:rPr/>
              <w:t>January 1, 2027</w:t>
            </w:r>
          </w:p>
        </w:tc>
        <w:tc>
          <w:tcPr>
            <w:tcW w:w="120" w:type="dxa"/>
            <w:tcBorders/>
            <w:vAlign w:val="bottom"/>
          </w:tcPr>
          <w:p>
            <w:pPr>
              <w:pStyle w:val="TableContents"/>
              <w:bidi w:val="0"/>
              <w:spacing w:before="0" w:after="283"/>
              <w:jc w:val="left"/>
              <w:rPr/>
            </w:pPr>
            <w:r>
              <w:rPr/>
              <w:t>  </w:t>
            </w:r>
          </w:p>
        </w:tc>
        <w:tc>
          <w:tcPr>
            <w:tcW w:w="2804" w:type="dxa"/>
            <w:tcBorders/>
          </w:tcPr>
          <w:p>
            <w:pPr>
              <w:pStyle w:val="TableContents"/>
              <w:bidi w:val="0"/>
              <w:spacing w:before="0" w:after="283"/>
              <w:jc w:val="left"/>
              <w:rPr/>
            </w:pPr>
            <w:r>
              <w:rPr/>
              <w:t>The Company will adopt ASU No. 2024-03 on January 1, 2027 and elect to apply the standard prospectively. The Company does not believe that the implementation of this guidance will have a material impact on its consolidated financial statements.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4. Revenues from Contracts with Customers </w:t>
      </w:r>
    </w:p>
    <w:p>
      <w:pPr>
        <w:pStyle w:val="TextBody"/>
        <w:bidi w:val="0"/>
        <w:spacing w:before="120" w:after="0"/>
        <w:jc w:val="left"/>
        <w:rPr>
          <w:rFonts w:ascii="Times New Roman" w:hAnsi="Times New Roman"/>
          <w:sz w:val="20"/>
        </w:rPr>
      </w:pPr>
      <w:r>
        <w:rPr>
          <w:rFonts w:ascii="Times New Roman" w:hAnsi="Times New Roman"/>
          <w:sz w:val="20"/>
        </w:rPr>
        <w:t xml:space="preserve">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 </w:t>
      </w:r>
    </w:p>
    <w:p>
      <w:pPr>
        <w:pStyle w:val="TextBody"/>
        <w:bidi w:val="0"/>
        <w:spacing w:before="240" w:after="0"/>
        <w:jc w:val="left"/>
        <w:rPr>
          <w:rFonts w:ascii="Times New Roman" w:hAnsi="Times New Roman"/>
          <w:sz w:val="20"/>
        </w:rPr>
      </w:pPr>
      <w:r>
        <w:rPr>
          <w:rFonts w:ascii="Times New Roman" w:hAnsi="Times New Roman"/>
          <w:sz w:val="20"/>
        </w:rPr>
        <w:t xml:space="preserve">A performance obligation under contracts with the Company’s customers to render services is the unit of account under ASC 606, </w:t>
      </w:r>
      <w:r>
        <w:rPr>
          <w:rFonts w:ascii="Times New Roman" w:hAnsi="Times New Roman"/>
          <w:i/>
          <w:sz w:val="20"/>
        </w:rPr>
        <w:t>Revenue from Contracts with Customers</w:t>
      </w:r>
      <w:r>
        <w:rPr>
          <w:rFonts w:ascii="Times New Roman" w:hAnsi="Times New Roman"/>
          <w:sz w:val="20"/>
        </w:rPr>
        <w:t xml:space="preserve">. The Company accounts for services rendered separately if they are distinct and the service is separately identifiable from 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certain remaining performance obligations representing contracted vessel revenue for which work had not been performed and such contracts had an original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duration of more than one year. As of December 31, 2024, the aggregate amount of the transaction price allocated to remaining performance obligations for such contracts totaled $92.4 million, of which $61.0 million is expected to be fully recognized in 2025 and $31.4 million in 2026. These amounts are a result of multi-year vessel charters that commenced in 2023 and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we had $6.7 million of deferred revenue included in current liabilities related to advance billings for unsatisfied performance obligations that will be recognized during 2025 and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Disaggregation of Revenues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recognized revenues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67"/>
        <w:gridCol w:w="376"/>
        <w:gridCol w:w="140"/>
        <w:gridCol w:w="823"/>
        <w:gridCol w:w="60"/>
        <w:gridCol w:w="376"/>
        <w:gridCol w:w="140"/>
        <w:gridCol w:w="823"/>
        <w:gridCol w:w="60"/>
        <w:gridCol w:w="376"/>
        <w:gridCol w:w="140"/>
        <w:gridCol w:w="823"/>
        <w:gridCol w:w="68"/>
      </w:tblGrid>
      <w:tr>
        <w:trPr/>
        <w:tc>
          <w:tcPr>
            <w:tcW w:w="4367"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6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376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8" w:type="dxa"/>
            <w:tcBorders/>
            <w:vAlign w:val="bottom"/>
          </w:tcPr>
          <w:p>
            <w:pPr>
              <w:pStyle w:val="TableContents"/>
              <w:bidi w:val="0"/>
              <w:spacing w:before="0" w:after="283"/>
              <w:jc w:val="left"/>
              <w:rPr/>
            </w:pPr>
            <w:r>
              <w:rPr/>
              <w:t> </w:t>
            </w:r>
          </w:p>
        </w:tc>
      </w:tr>
      <w:tr>
        <w:trPr/>
        <w:tc>
          <w:tcPr>
            <w:tcW w:w="4367"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9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4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Vessel revenues</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592,246</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528,780</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406,034</w:t>
            </w:r>
          </w:p>
        </w:tc>
        <w:tc>
          <w:tcPr>
            <w:tcW w:w="68" w:type="dxa"/>
            <w:tcBorders/>
            <w:shd w:fill="CCEEFF" w:val="clear"/>
            <w:vAlign w:val="bottom"/>
          </w:tcPr>
          <w:p>
            <w:pPr>
              <w:pStyle w:val="TableContents"/>
              <w:bidi w:val="0"/>
              <w:spacing w:before="0" w:after="283"/>
              <w:jc w:val="left"/>
              <w:rPr/>
            </w:pPr>
            <w:r>
              <w:rPr/>
              <w:t> </w:t>
            </w:r>
          </w:p>
        </w:tc>
      </w:tr>
      <w:tr>
        <w:trPr/>
        <w:tc>
          <w:tcPr>
            <w:tcW w:w="4367" w:type="dxa"/>
            <w:tcBorders/>
          </w:tcPr>
          <w:p>
            <w:pPr>
              <w:pStyle w:val="TableContents"/>
              <w:bidi w:val="0"/>
              <w:spacing w:before="0" w:after="0"/>
              <w:jc w:val="left"/>
              <w:rPr>
                <w:rFonts w:ascii="Times New Roman" w:hAnsi="Times New Roman"/>
                <w:sz w:val="20"/>
              </w:rPr>
            </w:pPr>
            <w:r>
              <w:rPr>
                <w:rFonts w:ascii="Times New Roman" w:hAnsi="Times New Roman"/>
                <w:sz w:val="20"/>
              </w:rPr>
              <w:t>Vessel management revenues</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45,894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43,128</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42,893</w:t>
            </w:r>
          </w:p>
        </w:tc>
        <w:tc>
          <w:tcPr>
            <w:tcW w:w="68" w:type="dxa"/>
            <w:tcBorders/>
            <w:vAlign w:val="bottom"/>
          </w:tcPr>
          <w:p>
            <w:pPr>
              <w:pStyle w:val="TableContents"/>
              <w:bidi w:val="0"/>
              <w:spacing w:before="0" w:after="283"/>
              <w:jc w:val="left"/>
              <w:rPr/>
            </w:pPr>
            <w:r>
              <w:rPr/>
              <w:t> </w:t>
            </w:r>
          </w:p>
        </w:tc>
      </w:tr>
      <w:tr>
        <w:trPr/>
        <w:tc>
          <w:tcPr>
            <w:tcW w:w="43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Shore-based facility revenues</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2,711</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1,541</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2,299</w:t>
            </w:r>
          </w:p>
        </w:tc>
        <w:tc>
          <w:tcPr>
            <w:tcW w:w="68" w:type="dxa"/>
            <w:tcBorders/>
            <w:shd w:fill="CCEEFF" w:val="clear"/>
            <w:vAlign w:val="bottom"/>
          </w:tcPr>
          <w:p>
            <w:pPr>
              <w:pStyle w:val="TableContents"/>
              <w:bidi w:val="0"/>
              <w:spacing w:before="0" w:after="283"/>
              <w:jc w:val="left"/>
              <w:rPr/>
            </w:pPr>
            <w:r>
              <w:rPr/>
              <w:t> </w:t>
            </w:r>
          </w:p>
        </w:tc>
      </w:tr>
      <w:tr>
        <w:trPr/>
        <w:tc>
          <w:tcPr>
            <w:tcW w:w="4367"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67" w:type="dxa"/>
            <w:tcBorders/>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640,851</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573,449</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451,226</w:t>
            </w:r>
          </w:p>
        </w:tc>
        <w:tc>
          <w:tcPr>
            <w:tcW w:w="68" w:type="dxa"/>
            <w:tcBorders/>
            <w:vAlign w:val="bottom"/>
          </w:tcPr>
          <w:p>
            <w:pPr>
              <w:pStyle w:val="TableContents"/>
              <w:bidi w:val="0"/>
              <w:spacing w:before="0" w:after="283"/>
              <w:jc w:val="left"/>
              <w:rPr/>
            </w:pPr>
            <w:r>
              <w:rPr/>
              <w:t> </w:t>
            </w:r>
          </w:p>
        </w:tc>
      </w:tr>
      <w:tr>
        <w:trPr/>
        <w:tc>
          <w:tcPr>
            <w:tcW w:w="4367"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Revenues by geographic region(1)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57"/>
        <w:gridCol w:w="154"/>
        <w:gridCol w:w="140"/>
        <w:gridCol w:w="824"/>
        <w:gridCol w:w="60"/>
        <w:gridCol w:w="154"/>
        <w:gridCol w:w="107"/>
        <w:gridCol w:w="1037"/>
        <w:gridCol w:w="275"/>
        <w:gridCol w:w="99"/>
        <w:gridCol w:w="140"/>
        <w:gridCol w:w="824"/>
        <w:gridCol w:w="60"/>
        <w:gridCol w:w="154"/>
        <w:gridCol w:w="106"/>
        <w:gridCol w:w="1037"/>
        <w:gridCol w:w="275"/>
        <w:gridCol w:w="99"/>
        <w:gridCol w:w="140"/>
        <w:gridCol w:w="824"/>
        <w:gridCol w:w="60"/>
        <w:gridCol w:w="154"/>
        <w:gridCol w:w="107"/>
        <w:gridCol w:w="1037"/>
        <w:gridCol w:w="281"/>
      </w:tblGrid>
      <w:tr>
        <w:trPr/>
        <w:tc>
          <w:tcPr>
            <w:tcW w:w="2057"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05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13"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1" w:type="dxa"/>
            <w:tcBorders/>
            <w:vAlign w:val="bottom"/>
          </w:tcPr>
          <w:p>
            <w:pPr>
              <w:pStyle w:val="TableContents"/>
              <w:bidi w:val="0"/>
              <w:spacing w:before="0" w:after="283"/>
              <w:jc w:val="left"/>
              <w:rPr/>
            </w:pPr>
            <w:r>
              <w:rPr/>
              <w:t> </w:t>
            </w:r>
          </w:p>
        </w:tc>
      </w:tr>
      <w:tr>
        <w:trPr/>
        <w:tc>
          <w:tcPr>
            <w:tcW w:w="2057"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81" w:type="dxa"/>
            <w:tcBorders/>
            <w:vAlign w:val="bottom"/>
          </w:tcPr>
          <w:p>
            <w:pPr>
              <w:pStyle w:val="TableContents"/>
              <w:bidi w:val="0"/>
              <w:spacing w:before="0" w:after="283"/>
              <w:jc w:val="left"/>
              <w:rPr/>
            </w:pPr>
            <w:r>
              <w:rPr/>
              <w:t> </w:t>
            </w:r>
          </w:p>
        </w:tc>
      </w:tr>
      <w:tr>
        <w:trPr/>
        <w:tc>
          <w:tcPr>
            <w:tcW w:w="2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478,052</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74.6</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432,621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75.4</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362,830</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80.4</w:t>
            </w:r>
          </w:p>
        </w:tc>
        <w:tc>
          <w:tcPr>
            <w:tcW w:w="281" w:type="dxa"/>
            <w:tcBorders/>
            <w:shd w:fill="CCEEFF" w:val="clear"/>
            <w:vAlign w:val="bottom"/>
          </w:tcPr>
          <w:p>
            <w:pPr>
              <w:pStyle w:val="TableContents"/>
              <w:bidi w:val="0"/>
              <w:spacing w:before="0" w:after="283"/>
              <w:jc w:val="left"/>
              <w:rPr/>
            </w:pPr>
            <w:r>
              <w:rPr/>
              <w:t>% </w:t>
            </w:r>
          </w:p>
        </w:tc>
      </w:tr>
      <w:tr>
        <w:trPr/>
        <w:tc>
          <w:tcPr>
            <w:tcW w:w="2057"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(2)</w:t>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162,799</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25.4</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140,828</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24.6</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4" w:type="dxa"/>
            <w:tcBorders/>
            <w:vAlign w:val="bottom"/>
          </w:tcPr>
          <w:p>
            <w:pPr>
              <w:pStyle w:val="TableContents"/>
              <w:bidi w:val="0"/>
              <w:spacing w:before="0" w:after="283"/>
              <w:jc w:val="right"/>
              <w:rPr/>
            </w:pPr>
            <w:r>
              <w:rPr/>
              <w:t>88,396</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19.6</w:t>
            </w:r>
          </w:p>
        </w:tc>
        <w:tc>
          <w:tcPr>
            <w:tcW w:w="281" w:type="dxa"/>
            <w:tcBorders/>
            <w:vAlign w:val="bottom"/>
          </w:tcPr>
          <w:p>
            <w:pPr>
              <w:pStyle w:val="TableContents"/>
              <w:bidi w:val="0"/>
              <w:spacing w:before="0" w:after="283"/>
              <w:jc w:val="left"/>
              <w:rPr/>
            </w:pPr>
            <w:r>
              <w:rPr/>
              <w:t>% </w:t>
            </w:r>
          </w:p>
        </w:tc>
      </w:tr>
      <w:tr>
        <w:trPr/>
        <w:tc>
          <w:tcPr>
            <w:tcW w:w="205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057" w:type="dxa"/>
            <w:tcBorders/>
            <w:shd w:fill="CCEEFF" w:val="clear"/>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640,851</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573,449</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4" w:type="dxa"/>
            <w:tcBorders/>
            <w:shd w:fill="CCEEFF" w:val="clear"/>
            <w:vAlign w:val="bottom"/>
          </w:tcPr>
          <w:p>
            <w:pPr>
              <w:pStyle w:val="TableContents"/>
              <w:bidi w:val="0"/>
              <w:spacing w:before="0" w:after="283"/>
              <w:jc w:val="right"/>
              <w:rPr/>
            </w:pPr>
            <w:r>
              <w:rPr/>
              <w:t>451,226</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100.0</w:t>
            </w:r>
          </w:p>
        </w:tc>
        <w:tc>
          <w:tcPr>
            <w:tcW w:w="281" w:type="dxa"/>
            <w:tcBorders/>
            <w:shd w:fill="CCEEFF" w:val="clear"/>
            <w:vAlign w:val="bottom"/>
          </w:tcPr>
          <w:p>
            <w:pPr>
              <w:pStyle w:val="TableContents"/>
              <w:bidi w:val="0"/>
              <w:spacing w:before="0" w:after="283"/>
              <w:jc w:val="left"/>
              <w:rPr/>
            </w:pPr>
            <w:r>
              <w:rPr/>
              <w:t>% </w:t>
            </w:r>
          </w:p>
        </w:tc>
      </w:tr>
      <w:tr>
        <w:trPr/>
        <w:tc>
          <w:tcPr>
            <w:tcW w:w="205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attributes revenues to individual geographic regions based on the location where services are performed.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revenues of $32.3 million, $62.1 million and $41.3 million were attributed to services performed in Mexico for the years ended December 31, 2024, 2023 and 2022, respectively. International revenues of $88.4 million, $53.2 million and $15.4 million were attributed to services performed in Brazil for the years ended December 31, 2024, 2023 and 2022, respectively. Revenues attributed to other countries were not individually material for the periods presented.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48"/>
        <w:gridCol w:w="9557"/>
      </w:tblGrid>
      <w:tr>
        <w:trPr/>
        <w:tc>
          <w:tcPr>
            <w:tcW w:w="648" w:type="dxa"/>
            <w:tcBorders/>
          </w:tcPr>
          <w:p>
            <w:pPr>
              <w:pStyle w:val="TableContents"/>
              <w:bidi w:val="0"/>
              <w:spacing w:before="0" w:after="283"/>
              <w:jc w:val="left"/>
              <w:rPr>
                <w:b/>
                <w:i/>
              </w:rPr>
            </w:pPr>
            <w:r>
              <w:rPr>
                <w:b/>
                <w:i/>
              </w:rPr>
              <w:t>Major</w:t>
            </w:r>
          </w:p>
        </w:tc>
        <w:tc>
          <w:tcPr>
            <w:tcW w:w="9557" w:type="dxa"/>
            <w:tcBorders/>
          </w:tcPr>
          <w:p>
            <w:pPr>
              <w:pStyle w:val="TableContents"/>
              <w:bidi w:val="0"/>
              <w:spacing w:before="0" w:after="0"/>
              <w:jc w:val="left"/>
              <w:rPr>
                <w:rFonts w:ascii="Times New Roman" w:hAnsi="Times New Roman"/>
                <w:sz w:val="20"/>
              </w:rPr>
            </w:pPr>
            <w:r>
              <w:rPr>
                <w:rFonts w:ascii="Times New Roman" w:hAnsi="Times New Roman"/>
                <w:b/>
                <w:i/>
                <w:sz w:val="20"/>
              </w:rPr>
              <w:t>Customers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Revenues from the following customers represented 10% or more of consolidated revenues: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89"/>
        <w:gridCol w:w="410"/>
        <w:gridCol w:w="93"/>
        <w:gridCol w:w="407"/>
        <w:gridCol w:w="381"/>
        <w:gridCol w:w="326"/>
        <w:gridCol w:w="83"/>
        <w:gridCol w:w="511"/>
        <w:gridCol w:w="493"/>
        <w:gridCol w:w="326"/>
        <w:gridCol w:w="83"/>
        <w:gridCol w:w="516"/>
        <w:gridCol w:w="354"/>
      </w:tblGrid>
      <w:tr>
        <w:trPr/>
        <w:tc>
          <w:tcPr>
            <w:tcW w:w="4589"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5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321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354"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38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5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493"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5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54" w:type="dxa"/>
            <w:tcBorders/>
            <w:vAlign w:val="bottom"/>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41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right"/>
              <w:rPr/>
            </w:pPr>
            <w:r>
              <w:rPr/>
              <w:t>16</w:t>
            </w:r>
          </w:p>
        </w:tc>
        <w:tc>
          <w:tcPr>
            <w:tcW w:w="38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right"/>
              <w:rPr/>
            </w:pPr>
            <w:r>
              <w:rPr/>
              <w:t>16</w:t>
            </w:r>
          </w:p>
        </w:tc>
        <w:tc>
          <w:tcPr>
            <w:tcW w:w="493"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15</w:t>
            </w:r>
          </w:p>
        </w:tc>
        <w:tc>
          <w:tcPr>
            <w:tcW w:w="354" w:type="dxa"/>
            <w:tcBorders/>
            <w:shd w:fill="CCEEFF" w:val="clear"/>
            <w:vAlign w:val="bottom"/>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41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right"/>
              <w:rPr/>
            </w:pPr>
            <w:r>
              <w:rPr/>
              <w:t>15</w:t>
            </w:r>
          </w:p>
        </w:tc>
        <w:tc>
          <w:tcPr>
            <w:tcW w:w="38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511" w:type="dxa"/>
            <w:tcBorders/>
            <w:vAlign w:val="bottom"/>
          </w:tcPr>
          <w:p>
            <w:pPr>
              <w:pStyle w:val="TableContents"/>
              <w:bidi w:val="0"/>
              <w:spacing w:before="0" w:after="283"/>
              <w:jc w:val="right"/>
              <w:rPr/>
            </w:pPr>
            <w:r>
              <w:rPr/>
              <w:t>n/a </w:t>
            </w:r>
          </w:p>
        </w:tc>
        <w:tc>
          <w:tcPr>
            <w:tcW w:w="493" w:type="dxa"/>
            <w:tcBorders/>
            <w:vAlign w:val="bottom"/>
          </w:tcPr>
          <w:p>
            <w:pPr>
              <w:pStyle w:val="TableContents"/>
              <w:bidi w:val="0"/>
              <w:spacing w:before="0" w:after="283"/>
              <w:jc w:val="left"/>
              <w:rPr/>
            </w:pPr>
            <w:r>
              <w:rPr/>
              <w:t>(1) </w:t>
            </w:r>
          </w:p>
        </w:tc>
        <w:tc>
          <w:tcPr>
            <w:tcW w:w="326"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n/a </w:t>
            </w:r>
          </w:p>
        </w:tc>
        <w:tc>
          <w:tcPr>
            <w:tcW w:w="354" w:type="dxa"/>
            <w:tcBorders/>
            <w:vAlign w:val="bottom"/>
          </w:tcPr>
          <w:p>
            <w:pPr>
              <w:pStyle w:val="TableContents"/>
              <w:bidi w:val="0"/>
              <w:spacing w:before="0" w:after="283"/>
              <w:jc w:val="left"/>
              <w:rPr/>
            </w:pPr>
            <w:r>
              <w:rPr/>
              <w:t>(1)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41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right"/>
              <w:rPr/>
            </w:pPr>
            <w:r>
              <w:rPr/>
              <w:t>13</w:t>
            </w:r>
          </w:p>
        </w:tc>
        <w:tc>
          <w:tcPr>
            <w:tcW w:w="38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511" w:type="dxa"/>
            <w:tcBorders/>
            <w:shd w:fill="CCEEFF" w:val="clear"/>
            <w:vAlign w:val="bottom"/>
          </w:tcPr>
          <w:p>
            <w:pPr>
              <w:pStyle w:val="TableContents"/>
              <w:bidi w:val="0"/>
              <w:spacing w:before="0" w:after="283"/>
              <w:jc w:val="right"/>
              <w:rPr/>
            </w:pPr>
            <w:r>
              <w:rPr/>
              <w:t>20</w:t>
            </w:r>
          </w:p>
        </w:tc>
        <w:tc>
          <w:tcPr>
            <w:tcW w:w="493"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right"/>
              <w:rPr/>
            </w:pPr>
            <w:r>
              <w:rPr/>
              <w:t>16</w:t>
            </w:r>
          </w:p>
        </w:tc>
        <w:tc>
          <w:tcPr>
            <w:tcW w:w="35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 represented less than 10% of consolidated revenues in such period.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Earnings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table below reconciles the Company’s earnings per share (in thousands, except for per share data):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61"/>
        <w:gridCol w:w="313"/>
        <w:gridCol w:w="140"/>
        <w:gridCol w:w="690"/>
        <w:gridCol w:w="60"/>
        <w:gridCol w:w="313"/>
        <w:gridCol w:w="140"/>
        <w:gridCol w:w="690"/>
        <w:gridCol w:w="60"/>
        <w:gridCol w:w="313"/>
        <w:gridCol w:w="140"/>
        <w:gridCol w:w="690"/>
        <w:gridCol w:w="62"/>
      </w:tblGrid>
      <w:tr>
        <w:trPr/>
        <w:tc>
          <w:tcPr>
            <w:tcW w:w="4961"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961"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32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Decemebr 31,</w:t>
            </w:r>
          </w:p>
        </w:tc>
        <w:tc>
          <w:tcPr>
            <w:tcW w:w="62" w:type="dxa"/>
            <w:tcBorders/>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2"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92,802</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74,538</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80,762</w:t>
            </w:r>
          </w:p>
        </w:tc>
        <w:tc>
          <w:tcPr>
            <w:tcW w:w="62" w:type="dxa"/>
            <w:tcBorders/>
            <w:shd w:fill="CCEEFF" w:val="clear"/>
            <w:vAlign w:val="bottom"/>
          </w:tcPr>
          <w:p>
            <w:pPr>
              <w:pStyle w:val="TableContents"/>
              <w:bidi w:val="0"/>
              <w:spacing w:before="0" w:after="283"/>
              <w:jc w:val="left"/>
              <w:rPr/>
            </w:pPr>
            <w:r>
              <w:rPr/>
              <w:t> </w:t>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shares of common</w:t>
              <w:br/>
              <w:t>stock outstanding (1)(2)</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17,093</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17,004</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16,829</w:t>
            </w:r>
          </w:p>
        </w:tc>
        <w:tc>
          <w:tcPr>
            <w:tcW w:w="62" w:type="dxa"/>
            <w:tcBorders/>
            <w:vAlign w:val="bottom"/>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 Net effect of dilutive stock options, restricted</w:t>
              <w:br/>
              <w:t>stock units, and Creditor Warrants (3)(4)(5)</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2,104</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2,153</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1,565</w:t>
            </w:r>
          </w:p>
        </w:tc>
        <w:tc>
          <w:tcPr>
            <w:tcW w:w="62" w:type="dxa"/>
            <w:tcBorders/>
            <w:shd w:fill="CCEEFF" w:val="clear"/>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number of dilutive shares of</w:t>
              <w:br/>
              <w:t>common stock outstanding</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19,197</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19,157</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18,394</w:t>
            </w:r>
          </w:p>
        </w:tc>
        <w:tc>
          <w:tcPr>
            <w:tcW w:w="62" w:type="dxa"/>
            <w:tcBorders/>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961"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5.43</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4.38</w:t>
            </w:r>
          </w:p>
        </w:tc>
        <w:tc>
          <w:tcPr>
            <w:tcW w:w="60"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4.80</w:t>
            </w:r>
          </w:p>
        </w:tc>
        <w:tc>
          <w:tcPr>
            <w:tcW w:w="62" w:type="dxa"/>
            <w:tcBorders/>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4.83</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3.89</w:t>
            </w:r>
          </w:p>
        </w:tc>
        <w:tc>
          <w:tcPr>
            <w:tcW w:w="60" w:type="dxa"/>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4.39</w:t>
            </w:r>
          </w:p>
        </w:tc>
        <w:tc>
          <w:tcPr>
            <w:tcW w:w="62" w:type="dxa"/>
            <w:tcBorders/>
            <w:shd w:fill="CCEEFF" w:val="clear"/>
            <w:vAlign w:val="bottom"/>
          </w:tcPr>
          <w:p>
            <w:pPr>
              <w:pStyle w:val="TableContents"/>
              <w:bidi w:val="0"/>
              <w:spacing w:before="0" w:after="283"/>
              <w:jc w:val="left"/>
              <w:rPr/>
            </w:pPr>
            <w:r>
              <w:rPr/>
              <w:t> </w:t>
            </w:r>
          </w:p>
        </w:tc>
      </w:tr>
      <w:tr>
        <w:trPr/>
        <w:tc>
          <w:tcPr>
            <w:tcW w:w="4961" w:type="dxa"/>
            <w:tcBorders/>
            <w:vAlign w:val="bottom"/>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included 11,375, 11,377 and 11,488 Jones Act Warrants in the weighted-average number of shares of common stock outstanding for the years ended December 31, 2024, 2023 and 2022, respectively, which represents the weighted-average number of Jones Act Warrants existing at each period-end. See Note 13 to these consolidated financial statements for further information regarding the Jones Act Warrants.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105 fully vested, equity-settled restricted stock units that will be settled on the earlier of the occurrence of a contractually-designated event and the passage of a certain period of time for the years ended December 31, 2024, 2023 and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132, 196 and 254 unvested restricted stock units and 620, 611 and 380 contingently-exercisable, vested restricted stock units in the weighted average calculation for the years ended December 31, 2024, 2023 and 2022,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459, 476 and 403 dilutive unvested stock options granted under the MIP in the weighted-average calculation for the years ended December 31, 2024, 2023 and 2022, respectively. Dilutive unvested stock options issued by the Company are expected to fluctuate from quarter to quarter depending on the Company’s performance compared to a predetermined set of performance criteria. See Note 14 to these consolidated financial statements for further information regarding the Company’s stock options granted under the MIP.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893, 870 and 488 of in-the-money Creditor Warrants in the weighted-average calculation for the years ended December 31, 2024, 2023 and 2022,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6. Defined Contribution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 offers a 401(k) plan to all full-time employees. Employees must be at least eighteen years of age and are eligible to participate the first of the month following their date of hire. Participants may elect to defer up to 60% of their compensation, subject to certain statutorily established limits. The Company may elect to make annual matching and profit sharing contributions to the 401(k) plan. During the years ended December 31, 2024, 2023 and 2022, the Company made contributions to the 401(k) plan of approximately $7.1 million, $5.6 million and $2.6 million,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7. Deferred Charges </w:t>
      </w:r>
    </w:p>
    <w:p>
      <w:pPr>
        <w:pStyle w:val="TextBody"/>
        <w:bidi w:val="0"/>
        <w:spacing w:before="120" w:after="0"/>
        <w:jc w:val="left"/>
        <w:rPr>
          <w:rFonts w:ascii="Times New Roman" w:hAnsi="Times New Roman"/>
          <w:sz w:val="20"/>
        </w:rPr>
      </w:pPr>
      <w:r>
        <w:rPr>
          <w:rFonts w:ascii="Times New Roman" w:hAnsi="Times New Roman"/>
          <w:sz w:val="20"/>
        </w:rPr>
        <w:t xml:space="preserve">The amounts reported for deferred charges on the consolidated balance sheets as of December 31, 2024 and 2023, include costs associated with ongoing regulatory drydockings. Included in such capital costs are accruals for vendor costs incurred but not yet invoiced and paid. These accrual amounts totaling $6.3 million and $13.5 million as of December 31, 2024 and 2023, respectively, are excluded from cash flows from operating activities on the consolidated statement of cash flows as non-cash items for the periods 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second quarter of 2023, the Company postponed a planned senior debt offering to refinance all of its then-existing debt. As a result, the Company recorded a non-recurring charge of $3.7 million for previously deferred expenses incurred in connection with the terminated process as a refinancing did not occur within 90 days of the postponement date. Pursuant to ASC 340, </w:t>
      </w:r>
      <w:r>
        <w:rPr>
          <w:rFonts w:ascii="Times New Roman" w:hAnsi="Times New Roman"/>
          <w:i/>
          <w:sz w:val="20"/>
        </w:rPr>
        <w:t>Other Assets and Deferred Costs</w:t>
      </w:r>
      <w:r>
        <w:rPr>
          <w:rFonts w:ascii="Times New Roman" w:hAnsi="Times New Roman"/>
          <w:sz w:val="20"/>
        </w:rPr>
        <w:t xml:space="preserve">, costs associated with a postponed or terminated offering of debt or equity securities must be expensed if the offering is not completed or expected to be completed within 90 days of the postponement. </w:t>
      </w:r>
    </w:p>
    <w:p>
      <w:pPr>
        <w:pStyle w:val="TextBody"/>
        <w:bidi w:val="0"/>
        <w:spacing w:before="240" w:after="0"/>
        <w:jc w:val="left"/>
        <w:rPr>
          <w:rFonts w:ascii="Times New Roman" w:hAnsi="Times New Roman"/>
          <w:sz w:val="20"/>
        </w:rPr>
      </w:pPr>
      <w:r>
        <w:rPr>
          <w:rFonts w:ascii="Times New Roman" w:hAnsi="Times New Roman"/>
          <w:sz w:val="20"/>
        </w:rPr>
        <w:t xml:space="preserve">Similarly, in the fourth quarter of 2024, the Company postponed its plans to launch an initial public offering, or IPO. As a result, the Company recorded a non-recurring charge of $9.1 million for previously deferred expenses incurred in connection with the postponed IPO process as a public offering of its equity did not occur within the 90-day period from the effective postponement. </w:t>
      </w:r>
    </w:p>
    <w:p>
      <w:pPr>
        <w:pStyle w:val="TextBody"/>
        <w:bidi w:val="0"/>
        <w:spacing w:before="360" w:after="0"/>
        <w:jc w:val="left"/>
        <w:rPr>
          <w:rFonts w:ascii="Times New Roman" w:hAnsi="Times New Roman"/>
          <w:b/>
          <w:sz w:val="20"/>
        </w:rPr>
      </w:pPr>
      <w:r>
        <w:rPr>
          <w:rFonts w:ascii="Times New Roman" w:hAnsi="Times New Roman"/>
          <w:b/>
          <w:sz w:val="20"/>
        </w:rPr>
        <w:t xml:space="preserve">8.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consisted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79"/>
        <w:gridCol w:w="406"/>
        <w:gridCol w:w="146"/>
        <w:gridCol w:w="902"/>
        <w:gridCol w:w="156"/>
        <w:gridCol w:w="406"/>
        <w:gridCol w:w="146"/>
        <w:gridCol w:w="853"/>
        <w:gridCol w:w="161"/>
      </w:tblGrid>
      <w:tr>
        <w:trPr/>
        <w:tc>
          <w:tcPr>
            <w:tcW w:w="4579"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7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260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1" w:type="dxa"/>
            <w:tcBorders/>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0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1" w:type="dxa"/>
            <w:tcBorders/>
            <w:vAlign w:val="bottom"/>
          </w:tcPr>
          <w:p>
            <w:pPr>
              <w:pStyle w:val="TableContents"/>
              <w:bidi w:val="0"/>
              <w:spacing w:before="0" w:after="283"/>
              <w:jc w:val="left"/>
              <w:rPr/>
            </w:pPr>
            <w:r>
              <w:rPr/>
              <w:t> </w:t>
            </w:r>
          </w:p>
        </w:tc>
      </w:tr>
      <w:tr>
        <w:trPr/>
        <w:tc>
          <w:tcPr>
            <w:tcW w:w="4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Offshore supply vessels and multi-purpose support vessels</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902" w:type="dxa"/>
            <w:tcBorders/>
            <w:shd w:fill="CCEEFF" w:val="clear"/>
            <w:vAlign w:val="bottom"/>
          </w:tcPr>
          <w:p>
            <w:pPr>
              <w:pStyle w:val="TableContents"/>
              <w:bidi w:val="0"/>
              <w:spacing w:before="0" w:after="283"/>
              <w:jc w:val="right"/>
              <w:rPr/>
            </w:pPr>
            <w:r>
              <w:rPr/>
              <w:t>627,237</w:t>
            </w:r>
          </w:p>
        </w:tc>
        <w:tc>
          <w:tcPr>
            <w:tcW w:w="15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523,793</w:t>
            </w:r>
          </w:p>
        </w:tc>
        <w:tc>
          <w:tcPr>
            <w:tcW w:w="161" w:type="dxa"/>
            <w:tcBorders/>
            <w:shd w:fill="CCEEFF" w:val="clear"/>
            <w:vAlign w:val="bottom"/>
          </w:tcPr>
          <w:p>
            <w:pPr>
              <w:pStyle w:val="TableContents"/>
              <w:bidi w:val="0"/>
              <w:spacing w:before="0" w:after="283"/>
              <w:jc w:val="left"/>
              <w:rPr/>
            </w:pPr>
            <w:r>
              <w:rPr/>
              <w:t> </w:t>
            </w:r>
          </w:p>
        </w:tc>
      </w:tr>
      <w:tr>
        <w:trPr/>
        <w:tc>
          <w:tcPr>
            <w:tcW w:w="4579" w:type="dxa"/>
            <w:tcBorders/>
          </w:tcPr>
          <w:p>
            <w:pPr>
              <w:pStyle w:val="TableContents"/>
              <w:bidi w:val="0"/>
              <w:spacing w:before="0" w:after="0"/>
              <w:jc w:val="left"/>
              <w:rPr>
                <w:rFonts w:ascii="Times New Roman" w:hAnsi="Times New Roman"/>
                <w:sz w:val="20"/>
              </w:rPr>
            </w:pPr>
            <w:r>
              <w:rPr>
                <w:rFonts w:ascii="Times New Roman" w:hAnsi="Times New Roman"/>
                <w:sz w:val="20"/>
              </w:rPr>
              <w:t>Non-vessel related property, plant and equipment</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8,288</w:t>
            </w:r>
          </w:p>
        </w:tc>
        <w:tc>
          <w:tcPr>
            <w:tcW w:w="15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6,622</w:t>
            </w:r>
          </w:p>
        </w:tc>
        <w:tc>
          <w:tcPr>
            <w:tcW w:w="161" w:type="dxa"/>
            <w:tcBorders/>
            <w:vAlign w:val="bottom"/>
          </w:tcPr>
          <w:p>
            <w:pPr>
              <w:pStyle w:val="TableContents"/>
              <w:bidi w:val="0"/>
              <w:spacing w:before="0" w:after="283"/>
              <w:jc w:val="left"/>
              <w:rPr/>
            </w:pPr>
            <w:r>
              <w:rPr/>
              <w:t> </w:t>
            </w:r>
          </w:p>
        </w:tc>
      </w:tr>
      <w:tr>
        <w:trPr/>
        <w:tc>
          <w:tcPr>
            <w:tcW w:w="4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(103,564</w:t>
            </w:r>
          </w:p>
        </w:tc>
        <w:tc>
          <w:tcPr>
            <w:tcW w:w="15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(65,890</w:t>
            </w:r>
          </w:p>
        </w:tc>
        <w:tc>
          <w:tcPr>
            <w:tcW w:w="161" w:type="dxa"/>
            <w:tcBorders/>
            <w:shd w:fill="CCEEFF" w:val="clear"/>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9"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531,961</w:t>
            </w:r>
          </w:p>
        </w:tc>
        <w:tc>
          <w:tcPr>
            <w:tcW w:w="15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3" w:type="dxa"/>
            <w:tcBorders/>
            <w:vAlign w:val="bottom"/>
          </w:tcPr>
          <w:p>
            <w:pPr>
              <w:pStyle w:val="TableContents"/>
              <w:bidi w:val="0"/>
              <w:spacing w:before="0" w:after="283"/>
              <w:jc w:val="right"/>
              <w:rPr/>
            </w:pPr>
            <w:r>
              <w:rPr/>
              <w:t>464,525</w:t>
            </w:r>
          </w:p>
        </w:tc>
        <w:tc>
          <w:tcPr>
            <w:tcW w:w="161" w:type="dxa"/>
            <w:tcBorders/>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 (1)</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142,768</w:t>
            </w:r>
          </w:p>
        </w:tc>
        <w:tc>
          <w:tcPr>
            <w:tcW w:w="156"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3" w:type="dxa"/>
            <w:tcBorders/>
            <w:shd w:fill="CCEEFF" w:val="clear"/>
            <w:vAlign w:val="bottom"/>
          </w:tcPr>
          <w:p>
            <w:pPr>
              <w:pStyle w:val="TableContents"/>
              <w:bidi w:val="0"/>
              <w:spacing w:before="0" w:after="283"/>
              <w:jc w:val="right"/>
              <w:rPr/>
            </w:pPr>
            <w:r>
              <w:rPr/>
              <w:t>137,897</w:t>
            </w:r>
          </w:p>
        </w:tc>
        <w:tc>
          <w:tcPr>
            <w:tcW w:w="161" w:type="dxa"/>
            <w:tcBorders/>
            <w:shd w:fill="CCEEFF" w:val="clear"/>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579" w:type="dxa"/>
            <w:tcBorders/>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902" w:type="dxa"/>
            <w:tcBorders/>
            <w:vAlign w:val="bottom"/>
          </w:tcPr>
          <w:p>
            <w:pPr>
              <w:pStyle w:val="TableContents"/>
              <w:bidi w:val="0"/>
              <w:spacing w:before="0" w:after="283"/>
              <w:jc w:val="right"/>
              <w:rPr/>
            </w:pPr>
            <w:r>
              <w:rPr/>
              <w:t>674,729</w:t>
            </w:r>
          </w:p>
        </w:tc>
        <w:tc>
          <w:tcPr>
            <w:tcW w:w="15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602,422</w:t>
            </w:r>
          </w:p>
        </w:tc>
        <w:tc>
          <w:tcPr>
            <w:tcW w:w="161" w:type="dxa"/>
            <w:tcBorders/>
            <w:vAlign w:val="bottom"/>
          </w:tcPr>
          <w:p>
            <w:pPr>
              <w:pStyle w:val="TableContents"/>
              <w:bidi w:val="0"/>
              <w:spacing w:before="0" w:after="283"/>
              <w:jc w:val="left"/>
              <w:rPr/>
            </w:pPr>
            <w:r>
              <w:rPr/>
              <w:t> </w:t>
            </w:r>
          </w:p>
        </w:tc>
      </w:tr>
      <w:tr>
        <w:trPr/>
        <w:tc>
          <w:tcPr>
            <w:tcW w:w="4579"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$10.0 million and $17.6 million of accrued accounts payable as of December 31, 2024 and 2023, respectively. These amounts were excluded from the consolidated statement of cash flows as non-cash items for the respective periods.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presents net book value of property, plant and equipment by geographic regions(1)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49"/>
        <w:gridCol w:w="307"/>
        <w:gridCol w:w="140"/>
        <w:gridCol w:w="848"/>
        <w:gridCol w:w="60"/>
        <w:gridCol w:w="307"/>
        <w:gridCol w:w="107"/>
        <w:gridCol w:w="1067"/>
        <w:gridCol w:w="276"/>
        <w:gridCol w:w="215"/>
        <w:gridCol w:w="140"/>
        <w:gridCol w:w="848"/>
        <w:gridCol w:w="60"/>
        <w:gridCol w:w="307"/>
        <w:gridCol w:w="107"/>
        <w:gridCol w:w="1067"/>
        <w:gridCol w:w="283"/>
      </w:tblGrid>
      <w:tr>
        <w:trPr/>
        <w:tc>
          <w:tcPr>
            <w:tcW w:w="324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24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554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83" w:type="dxa"/>
            <w:tcBorders/>
            <w:vAlign w:val="bottom"/>
          </w:tcPr>
          <w:p>
            <w:pPr>
              <w:pStyle w:val="TableContents"/>
              <w:bidi w:val="0"/>
              <w:spacing w:before="0" w:after="283"/>
              <w:jc w:val="left"/>
              <w:rPr/>
            </w:pPr>
            <w:r>
              <w:rPr/>
              <w:t> </w:t>
            </w:r>
          </w:p>
        </w:tc>
      </w:tr>
      <w:tr>
        <w:trPr/>
        <w:tc>
          <w:tcPr>
            <w:tcW w:w="324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Total</w:t>
            </w:r>
          </w:p>
        </w:tc>
        <w:tc>
          <w:tcPr>
            <w:tcW w:w="283" w:type="dxa"/>
            <w:tcBorders/>
            <w:vAlign w:val="bottom"/>
          </w:tcPr>
          <w:p>
            <w:pPr>
              <w:pStyle w:val="TableContents"/>
              <w:bidi w:val="0"/>
              <w:spacing w:before="0" w:after="283"/>
              <w:jc w:val="left"/>
              <w:rPr/>
            </w:pPr>
            <w:r>
              <w:rPr/>
              <w:t> </w:t>
            </w:r>
          </w:p>
        </w:tc>
      </w:tr>
      <w:tr>
        <w:trPr/>
        <w:tc>
          <w:tcPr>
            <w:tcW w:w="32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598,481</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88.7</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522,347</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86.7</w:t>
            </w:r>
          </w:p>
        </w:tc>
        <w:tc>
          <w:tcPr>
            <w:tcW w:w="283" w:type="dxa"/>
            <w:tcBorders/>
            <w:shd w:fill="CCEEFF" w:val="clear"/>
            <w:vAlign w:val="bottom"/>
          </w:tcPr>
          <w:p>
            <w:pPr>
              <w:pStyle w:val="TableContents"/>
              <w:bidi w:val="0"/>
              <w:spacing w:before="0" w:after="283"/>
              <w:jc w:val="left"/>
              <w:rPr/>
            </w:pPr>
            <w:r>
              <w:rPr/>
              <w:t>% </w:t>
            </w:r>
          </w:p>
        </w:tc>
      </w:tr>
      <w:tr>
        <w:trPr/>
        <w:tc>
          <w:tcPr>
            <w:tcW w:w="3249" w:type="dxa"/>
            <w:tcBorders/>
          </w:tcPr>
          <w:p>
            <w:pPr>
              <w:pStyle w:val="TableContents"/>
              <w:bidi w:val="0"/>
              <w:spacing w:before="0" w:after="0"/>
              <w:jc w:val="left"/>
              <w:rPr>
                <w:rFonts w:ascii="Times New Roman" w:hAnsi="Times New Roman"/>
                <w:sz w:val="20"/>
              </w:rPr>
            </w:pPr>
            <w:r>
              <w:rPr>
                <w:rFonts w:ascii="Times New Roman" w:hAnsi="Times New Roman"/>
                <w:sz w:val="20"/>
              </w:rPr>
              <w:t>International (2)</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76,248</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11.3</w:t>
            </w:r>
          </w:p>
        </w:tc>
        <w:tc>
          <w:tcPr>
            <w:tcW w:w="27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283"/>
              <w:jc w:val="right"/>
              <w:rPr/>
            </w:pPr>
            <w:r>
              <w:rPr/>
              <w:t>80,075</w:t>
            </w:r>
          </w:p>
        </w:tc>
        <w:tc>
          <w:tcPr>
            <w:tcW w:w="6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13.3</w:t>
            </w:r>
          </w:p>
        </w:tc>
        <w:tc>
          <w:tcPr>
            <w:tcW w:w="283" w:type="dxa"/>
            <w:tcBorders/>
            <w:vAlign w:val="bottom"/>
          </w:tcPr>
          <w:p>
            <w:pPr>
              <w:pStyle w:val="TableContents"/>
              <w:bidi w:val="0"/>
              <w:spacing w:before="0" w:after="283"/>
              <w:jc w:val="left"/>
              <w:rPr/>
            </w:pPr>
            <w:r>
              <w:rPr/>
              <w:t>% </w:t>
            </w:r>
          </w:p>
        </w:tc>
      </w:tr>
      <w:tr>
        <w:trPr/>
        <w:tc>
          <w:tcPr>
            <w:tcW w:w="324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3249" w:type="dxa"/>
            <w:tcBorders/>
            <w:shd w:fill="CCEEFF" w:val="clear"/>
          </w:tcPr>
          <w:p>
            <w:pPr>
              <w:pStyle w:val="TableContents"/>
              <w:bidi w:val="0"/>
              <w:spacing w:before="0" w:after="283"/>
              <w:jc w:val="left"/>
              <w:rPr>
                <w:sz w:val="4"/>
                <w:szCs w:val="4"/>
              </w:rPr>
            </w:pPr>
            <w:r>
              <w:rPr>
                <w:sz w:val="4"/>
                <w:szCs w:val="4"/>
              </w:rPr>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674,729</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8" w:type="dxa"/>
            <w:tcBorders/>
            <w:shd w:fill="CCEEFF" w:val="clear"/>
            <w:vAlign w:val="bottom"/>
          </w:tcPr>
          <w:p>
            <w:pPr>
              <w:pStyle w:val="TableContents"/>
              <w:bidi w:val="0"/>
              <w:spacing w:before="0" w:after="283"/>
              <w:jc w:val="right"/>
              <w:rPr/>
            </w:pPr>
            <w:r>
              <w:rPr/>
              <w:t>602,422</w:t>
            </w:r>
          </w:p>
        </w:tc>
        <w:tc>
          <w:tcPr>
            <w:tcW w:w="60" w:type="dxa"/>
            <w:tcBorders/>
            <w:shd w:fill="CCEEFF" w:val="clear"/>
            <w:vAlign w:val="bottom"/>
          </w:tcPr>
          <w:p>
            <w:pPr>
              <w:pStyle w:val="TableContents"/>
              <w:bidi w:val="0"/>
              <w:spacing w:before="0" w:after="283"/>
              <w:jc w:val="left"/>
              <w:rPr/>
            </w:pPr>
            <w:r>
              <w:rPr/>
              <w:t> </w:t>
            </w:r>
          </w:p>
        </w:tc>
        <w:tc>
          <w:tcPr>
            <w:tcW w:w="307"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100.0</w:t>
            </w:r>
          </w:p>
        </w:tc>
        <w:tc>
          <w:tcPr>
            <w:tcW w:w="283" w:type="dxa"/>
            <w:tcBorders/>
            <w:shd w:fill="CCEEFF" w:val="clear"/>
            <w:vAlign w:val="bottom"/>
          </w:tcPr>
          <w:p>
            <w:pPr>
              <w:pStyle w:val="TableContents"/>
              <w:bidi w:val="0"/>
              <w:spacing w:before="0" w:after="283"/>
              <w:jc w:val="left"/>
              <w:rPr/>
            </w:pPr>
            <w:r>
              <w:rPr/>
              <w:t>% </w:t>
            </w:r>
          </w:p>
        </w:tc>
      </w:tr>
      <w:tr>
        <w:trPr/>
        <w:tc>
          <w:tcPr>
            <w:tcW w:w="324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Book values are attributed to geographic regions based on the country of domicile of the specific asset-owning subsidiary of the Company, not the physical operating location of the asset as of any of the dates presented.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International property, plant and equipment of $68.7 million and $70.6 million were owned by certain Mexican subsidiaries of the Company as of December 31, 2024 and 2023, respectively. Property, plant and equipment attributed to other countries were not individually material as of any of the dates presented.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9. Assets Held for Sale </w:t>
      </w:r>
    </w:p>
    <w:p>
      <w:pPr>
        <w:pStyle w:val="TextBody"/>
        <w:bidi w:val="0"/>
        <w:spacing w:before="120" w:after="0"/>
        <w:jc w:val="left"/>
        <w:rPr>
          <w:rFonts w:ascii="Times New Roman" w:hAnsi="Times New Roman"/>
          <w:sz w:val="20"/>
        </w:rPr>
      </w:pPr>
      <w:r>
        <w:rPr>
          <w:rFonts w:ascii="Times New Roman" w:hAnsi="Times New Roman"/>
          <w:sz w:val="20"/>
        </w:rPr>
        <w:t xml:space="preserve">Pursuant to </w:t>
      </w:r>
      <w:r>
        <w:rPr>
          <w:rFonts w:ascii="Times New Roman" w:hAnsi="Times New Roman"/>
          <w:i/>
          <w:sz w:val="20"/>
        </w:rPr>
        <w:t>ASC 360, Property, Plant, and Equipment</w:t>
      </w:r>
      <w:r>
        <w:rPr>
          <w:rFonts w:ascii="Times New Roman" w:hAnsi="Times New Roman"/>
          <w:sz w:val="20"/>
        </w:rPr>
        <w:t xml:space="preserve">, the Company considers an asset to be held for sale when all of the following criteria are met: (i) management commits to a plan to sell the asset, (ii) the asset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for immediate sale in its present condition, (iii) actions required to complete the sale of the asset have been initiated, (iv) the sale of the asset is probable and the sale is expected to be completed within one year, (v) the asset is being actively marketed for sale at a price that is reasonable given its current fair value, and (vi) it is unlikely that the plan to sell will be significantly modified or withdrawn. </w:t>
      </w:r>
    </w:p>
    <w:p>
      <w:pPr>
        <w:pStyle w:val="TextBody"/>
        <w:bidi w:val="0"/>
        <w:spacing w:before="240" w:after="0"/>
        <w:jc w:val="left"/>
        <w:rPr>
          <w:rFonts w:ascii="Times New Roman" w:hAnsi="Times New Roman"/>
          <w:sz w:val="20"/>
        </w:rPr>
      </w:pPr>
      <w:r>
        <w:rPr>
          <w:rFonts w:ascii="Times New Roman" w:hAnsi="Times New Roman"/>
          <w:sz w:val="20"/>
        </w:rPr>
        <w:t xml:space="preserve">Upon designation as held for sale, an asset is recorded at the lower of its carrying value or estimated fair value, less estimated costs to sell, as of the reporting date. If at any time the above criteria are no longer met, subject to certain exceptions, the asset previously classified as held for sale is reclassified as held and used and measured individually at the lower of: (i) the carrying amount before being classified as held for sale, adjusted for any depreciation expense that would have been recognized had the asset been continuously classified as held and used, or (ii) the fair value at the date of the subsequent decision to not sell. </w:t>
      </w:r>
    </w:p>
    <w:p>
      <w:pPr>
        <w:pStyle w:val="TextBody"/>
        <w:bidi w:val="0"/>
        <w:spacing w:before="240" w:after="0"/>
        <w:jc w:val="left"/>
        <w:rPr>
          <w:rFonts w:ascii="Times New Roman" w:hAnsi="Times New Roman"/>
          <w:sz w:val="20"/>
        </w:rPr>
      </w:pPr>
      <w:r>
        <w:rPr>
          <w:rFonts w:ascii="Times New Roman" w:hAnsi="Times New Roman"/>
          <w:sz w:val="20"/>
        </w:rPr>
        <w:t xml:space="preserve">In 2020, the Board of Directors approved a plan to scrap or sell certain low-spec and mid-spec vessels. The Company has sold all but two such vessels as of December 31, 2024. The Company consummated the sale of two low-spec vessels for net proceeds totaling $1.0 million at a net gain of $0.8 million in 2023, and seven low-spec and three mid-spec vessels for net proceeds totaling $21.5 million at a net gain of $20.5 million in 2022. There were no vessel sales in 2024. In 2024, 2023 and 2022, the Company sold certain non-vessel assets for proceeds of $0.1 million, $2.0 million, and $1.3 million, at net gains of $0.1 million, $1.9 million, and $1.3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Based on current assessments, the Company did not have any vessels that met the held-for-sale criteria as of December 31, 2024 and 2023. </w:t>
      </w:r>
    </w:p>
    <w:p>
      <w:pPr>
        <w:pStyle w:val="TextBody"/>
        <w:bidi w:val="0"/>
        <w:spacing w:before="360" w:after="0"/>
        <w:jc w:val="left"/>
        <w:rPr>
          <w:rFonts w:ascii="Times New Roman" w:hAnsi="Times New Roman"/>
          <w:b/>
          <w:sz w:val="20"/>
        </w:rPr>
      </w:pPr>
      <w:r>
        <w:rPr>
          <w:rFonts w:ascii="Times New Roman" w:hAnsi="Times New Roman"/>
          <w:b/>
          <w:sz w:val="20"/>
        </w:rPr>
        <w:t xml:space="preserve">10. Vessel Acquisitions </w:t>
      </w:r>
    </w:p>
    <w:p>
      <w:pPr>
        <w:pStyle w:val="TextBody"/>
        <w:bidi w:val="0"/>
        <w:spacing w:before="120" w:after="0"/>
        <w:jc w:val="left"/>
        <w:rPr>
          <w:rFonts w:ascii="Times New Roman" w:hAnsi="Times New Roman"/>
          <w:i/>
          <w:sz w:val="20"/>
        </w:rPr>
      </w:pPr>
      <w:r>
        <w:rPr>
          <w:rFonts w:ascii="Times New Roman" w:hAnsi="Times New Roman"/>
          <w:i/>
          <w:sz w:val="20"/>
        </w:rPr>
        <w:t xml:space="preserve">ECO Acquisitions #1 </w:t>
      </w:r>
    </w:p>
    <w:p>
      <w:pPr>
        <w:pStyle w:val="TextBody"/>
        <w:bidi w:val="0"/>
        <w:spacing w:before="240" w:after="0"/>
        <w:jc w:val="left"/>
        <w:rPr>
          <w:rFonts w:ascii="Times New Roman" w:hAnsi="Times New Roman"/>
          <w:sz w:val="20"/>
        </w:rPr>
      </w:pPr>
      <w:r>
        <w:rPr>
          <w:rFonts w:ascii="Times New Roman" w:hAnsi="Times New Roman"/>
          <w:sz w:val="20"/>
        </w:rPr>
        <w:t xml:space="preserve">On January 10, 2022, the Company entered into definitive vessel purchase agreements with certain affiliates of Edison Chouest Offshore, or collectively ECO, to acquire up to ten high-spec, 280 class DP-2 OSVs for an aggregate price of $130.0 million. In November 2022, ECO exercised an option to terminate the vessel purchase agreements relating to the last four of such vessels. ECO refunded initial deposits of $1.5 million in the aggregate and paid an additional amount equal to such deposits as a termination fee. After accounting for such terminations and certain purchase price adjustments, the aggregate purchase price for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paid $82.2 million for the original purchase price and $1.7 million in purchase price adjustments associated with discretionary enhancements of the ECO Acquisitions #1 vessels, prior to the $1.5 million termination fee paid by ECO. In addition, the Company had incurred $5.3 million of post-acquisition costs associated with additional outfitting of the six vessels through the fourth quarter of 2024. </w:t>
      </w:r>
    </w:p>
    <w:p>
      <w:pPr>
        <w:pStyle w:val="TextBody"/>
        <w:bidi w:val="0"/>
        <w:spacing w:before="360" w:after="0"/>
        <w:jc w:val="left"/>
        <w:rPr>
          <w:rFonts w:ascii="Times New Roman" w:hAnsi="Times New Roman"/>
          <w:i/>
          <w:sz w:val="20"/>
        </w:rPr>
      </w:pPr>
      <w:r>
        <w:rPr>
          <w:rFonts w:ascii="Times New Roman" w:hAnsi="Times New Roman"/>
          <w:i/>
          <w:sz w:val="20"/>
        </w:rPr>
        <w:t xml:space="preserve">MARAD Acquisition and SOV/Flotel Conversion </w:t>
      </w:r>
    </w:p>
    <w:p>
      <w:pPr>
        <w:pStyle w:val="TextBody"/>
        <w:bidi w:val="0"/>
        <w:spacing w:before="120" w:after="0"/>
        <w:jc w:val="left"/>
        <w:rPr>
          <w:rFonts w:ascii="Times New Roman" w:hAnsi="Times New Roman"/>
          <w:sz w:val="20"/>
        </w:rPr>
      </w:pPr>
      <w:r>
        <w:rPr>
          <w:rFonts w:ascii="Times New Roman" w:hAnsi="Times New Roman"/>
          <w:sz w:val="20"/>
        </w:rPr>
        <w:t xml:space="preserve">On February 4, 2022, the Company completed the acquisition of three high-spec new generation OSVs from the U.S. Department of Transportation’s Maritime Administration, or MARAD, for an aggregate price of $37.2 million. All three vessels are U.S.- flagged, Jones Act-qualified, 280 class DP-2 OSVs with cargo-carrying capacities of circa 4,500 DWT. In September 2022, the Company placed two of these vessels into service for immediate time charters in the U.S. GoA. Since taking physical delivery of the vessels from MARAD, the Company has incurred approximately $27.1 million for the reactivation and regulatory drydockings of all three vessels. As of December 31, 2024, the Company had also incurred $59.1 million, excluding capitalized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associated with the conversion of the third vessel into a dual-use SOV/flotel to support the domestic offshore wind and oilfield markets. The Company currently expects to spend an additional $22.0 million toward the SOV/flotel conversion of the third vessel, which is expected to be completed in the third quarter of 2025. </w:t>
      </w:r>
    </w:p>
    <w:p>
      <w:pPr>
        <w:pStyle w:val="TextBody"/>
        <w:bidi w:val="0"/>
        <w:spacing w:before="360" w:after="0"/>
        <w:jc w:val="left"/>
        <w:rPr>
          <w:rFonts w:ascii="Times New Roman" w:hAnsi="Times New Roman"/>
          <w:i/>
          <w:sz w:val="20"/>
        </w:rPr>
      </w:pPr>
      <w:r>
        <w:rPr>
          <w:rFonts w:ascii="Times New Roman" w:hAnsi="Times New Roman"/>
          <w:i/>
          <w:sz w:val="20"/>
        </w:rPr>
        <w:t xml:space="preserve">ECO Acquisitions #2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2022, the Company executed a controlling purchase agreement with Nautical Solutions, L.L.C., or Nautical, an ECO affiliate. Pursuant to the controlling purchase agreement, the Company subsequently entered into separate, individual vessel purchase agreements to acquire six high-spec, 280 class DP-2 OSVs from Nautical for $17.0 million per vessel. Nautical completed regulatory drydocking and reactivation activities for each vessel prior to closing. The Company took delivery of the six vessels between July 2023 and January 2024.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had paid an aggregate of $102.0 million for the original purchase price, including deposits, and $9.4 million in purchase price adjustments associated with discretionary enhancements, additional outfitting, and post-closing modifications for the ECO Acquisitions #2 vessels.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determined that substantially all of the fair value of the assets acquired from ECO, MARAD and Nautical are concentrated in a group of similar identifiable assets and therefore, will account for such transactions as asset acquisitions under ASU 2017-01. The Company did not acquire any contracts, employees, business systems, trade names or trademarks in connection with these acquisitions. </w:t>
      </w:r>
    </w:p>
    <w:p>
      <w:pPr>
        <w:pStyle w:val="TextBody"/>
        <w:bidi w:val="0"/>
        <w:spacing w:before="360" w:after="0"/>
        <w:jc w:val="left"/>
        <w:rPr>
          <w:rFonts w:ascii="Times New Roman" w:hAnsi="Times New Roman"/>
          <w:b/>
          <w:sz w:val="20"/>
        </w:rPr>
      </w:pPr>
      <w:r>
        <w:rPr>
          <w:rFonts w:ascii="Times New Roman" w:hAnsi="Times New Roman"/>
          <w:b/>
          <w:sz w:val="20"/>
        </w:rPr>
        <w:t xml:space="preserve">11. Long-Term Debt </w:t>
      </w:r>
    </w:p>
    <w:p>
      <w:pPr>
        <w:pStyle w:val="TextBody"/>
        <w:bidi w:val="0"/>
        <w:spacing w:before="120" w:after="0"/>
        <w:jc w:val="left"/>
        <w:rPr>
          <w:rFonts w:ascii="Times New Roman" w:hAnsi="Times New Roman"/>
          <w:sz w:val="20"/>
        </w:rPr>
      </w:pPr>
      <w:r>
        <w:rPr>
          <w:rFonts w:ascii="Times New Roman" w:hAnsi="Times New Roman"/>
          <w:sz w:val="20"/>
        </w:rPr>
        <w:t xml:space="preserve">As of the dates indicated below, the Company had the following outstanding long-term debt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56"/>
        <w:gridCol w:w="364"/>
        <w:gridCol w:w="141"/>
        <w:gridCol w:w="882"/>
        <w:gridCol w:w="60"/>
        <w:gridCol w:w="364"/>
        <w:gridCol w:w="141"/>
        <w:gridCol w:w="882"/>
        <w:gridCol w:w="65"/>
      </w:tblGrid>
      <w:tr>
        <w:trPr/>
        <w:tc>
          <w:tcPr>
            <w:tcW w:w="4856"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56"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5"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856"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 net of original issue discount of $6,750 and deferred financing costs of $2,019</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441,231</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8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Lien Term Loans due 2026 (including</w:t>
              <w:br/>
              <w:t>accumulated paid-in-kind interest)</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349,001</w:t>
            </w:r>
          </w:p>
        </w:tc>
        <w:tc>
          <w:tcPr>
            <w:tcW w:w="65" w:type="dxa"/>
            <w:tcBorders/>
            <w:shd w:fill="CCEEFF" w:val="clear"/>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856" w:type="dxa"/>
            <w:tcBorders/>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441,231</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349,001</w:t>
            </w:r>
          </w:p>
        </w:tc>
        <w:tc>
          <w:tcPr>
            <w:tcW w:w="65" w:type="dxa"/>
            <w:tcBorders/>
            <w:vAlign w:val="bottom"/>
          </w:tcPr>
          <w:p>
            <w:pPr>
              <w:pStyle w:val="TableContents"/>
              <w:bidi w:val="0"/>
              <w:spacing w:before="0" w:after="283"/>
              <w:jc w:val="left"/>
              <w:rPr/>
            </w:pPr>
            <w:r>
              <w:rPr/>
              <w:t> </w:t>
            </w:r>
          </w:p>
        </w:tc>
      </w:tr>
      <w:tr>
        <w:trPr/>
        <w:tc>
          <w:tcPr>
            <w:tcW w:w="4856"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Annual maturities of outstanding debt as of December 31, 2024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6"/>
        <w:gridCol w:w="477"/>
        <w:gridCol w:w="140"/>
        <w:gridCol w:w="933"/>
        <w:gridCol w:w="63"/>
      </w:tblGrid>
      <w:tr>
        <w:trPr/>
        <w:tc>
          <w:tcPr>
            <w:tcW w:w="5326"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31,465</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37,461</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41,026</w:t>
            </w:r>
          </w:p>
        </w:tc>
        <w:tc>
          <w:tcPr>
            <w:tcW w:w="63" w:type="dxa"/>
            <w:tcBorders/>
            <w:vAlign w:val="bottom"/>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45,146</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294,902</w:t>
            </w:r>
          </w:p>
        </w:tc>
        <w:tc>
          <w:tcPr>
            <w:tcW w:w="63" w:type="dxa"/>
            <w:tcBorders/>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6" w:type="dxa"/>
            <w:tcBorders/>
            <w:shd w:fill="CCEEFF" w:val="clear"/>
          </w:tcPr>
          <w:p>
            <w:pPr>
              <w:pStyle w:val="TableContents"/>
              <w:bidi w:val="0"/>
              <w:spacing w:before="0" w:after="283"/>
              <w:jc w:val="left"/>
              <w:rPr>
                <w:sz w:val="4"/>
                <w:szCs w:val="4"/>
              </w:rPr>
            </w:pPr>
            <w:r>
              <w:rPr>
                <w:sz w:val="4"/>
                <w:szCs w:val="4"/>
              </w:rPr>
            </w:r>
          </w:p>
        </w:tc>
        <w:tc>
          <w:tcPr>
            <w:tcW w:w="47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450,000</w:t>
            </w:r>
          </w:p>
        </w:tc>
        <w:tc>
          <w:tcPr>
            <w:tcW w:w="63" w:type="dxa"/>
            <w:tcBorders/>
            <w:shd w:fill="CCEEFF" w:val="clear"/>
            <w:vAlign w:val="bottom"/>
          </w:tcPr>
          <w:p>
            <w:pPr>
              <w:pStyle w:val="TableContents"/>
              <w:bidi w:val="0"/>
              <w:spacing w:before="0" w:after="283"/>
              <w:jc w:val="left"/>
              <w:rPr/>
            </w:pPr>
            <w:r>
              <w:rPr/>
              <w:t> </w:t>
            </w:r>
          </w:p>
        </w:tc>
      </w:tr>
      <w:tr>
        <w:trPr/>
        <w:tc>
          <w:tcPr>
            <w:tcW w:w="5326" w:type="dxa"/>
            <w:tcBorders/>
            <w:vAlign w:val="bottom"/>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below summarizes the Company’s cash interest payments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916"/>
        <w:gridCol w:w="437"/>
        <w:gridCol w:w="278"/>
        <w:gridCol w:w="1159"/>
        <w:gridCol w:w="60"/>
        <w:gridCol w:w="437"/>
        <w:gridCol w:w="60"/>
        <w:gridCol w:w="2345"/>
        <w:gridCol w:w="63"/>
      </w:tblGrid>
      <w:tr>
        <w:trPr/>
        <w:tc>
          <w:tcPr>
            <w:tcW w:w="2916"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16"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Interest</w:t>
              <w:br/>
              <w:t>Payments (1)</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Payment Dates</w:t>
            </w:r>
          </w:p>
        </w:tc>
        <w:tc>
          <w:tcPr>
            <w:tcW w:w="63" w:type="dxa"/>
            <w:tcBorders/>
            <w:vAlign w:val="bottom"/>
          </w:tcPr>
          <w:p>
            <w:pPr>
              <w:pStyle w:val="TableContents"/>
              <w:bidi w:val="0"/>
              <w:spacing w:before="0" w:after="283"/>
              <w:jc w:val="left"/>
              <w:rPr/>
            </w:pPr>
            <w:r>
              <w:rPr/>
              <w:t> </w:t>
            </w:r>
          </w:p>
        </w:tc>
      </w:tr>
      <w:tr>
        <w:trPr/>
        <w:tc>
          <w:tcPr>
            <w:tcW w:w="2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Lien Revolving Credit Facility due 2029</w:t>
            </w:r>
          </w:p>
        </w:tc>
        <w:tc>
          <w:tcPr>
            <w:tcW w:w="437"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45" w:type="dxa"/>
            <w:tcBorders/>
            <w:shd w:fill="CCEEFF" w:val="clear"/>
            <w:vAlign w:val="bottom"/>
          </w:tcPr>
          <w:p>
            <w:pPr>
              <w:pStyle w:val="TableContents"/>
              <w:bidi w:val="0"/>
              <w:spacing w:before="0" w:after="283"/>
              <w:jc w:val="right"/>
              <w:rPr/>
            </w:pPr>
            <w:r>
              <w:rPr/>
              <w:t>Variable (determined</w:t>
              <w:br/>
              <w:t>on date of draw)</w:t>
            </w:r>
          </w:p>
        </w:tc>
        <w:tc>
          <w:tcPr>
            <w:tcW w:w="63" w:type="dxa"/>
            <w:tcBorders/>
            <w:shd w:fill="CCEEFF" w:val="clear"/>
            <w:vAlign w:val="bottom"/>
          </w:tcPr>
          <w:p>
            <w:pPr>
              <w:pStyle w:val="TableContents"/>
              <w:bidi w:val="0"/>
              <w:spacing w:before="0" w:after="283"/>
              <w:jc w:val="left"/>
              <w:rPr/>
            </w:pPr>
            <w:r>
              <w:rPr/>
              <w:t> </w:t>
            </w:r>
            <w:r>
              <w:rPr/>
              <w:br/>
              <w:t> </w:t>
            </w:r>
          </w:p>
        </w:tc>
      </w:tr>
      <w:tr>
        <w:trPr/>
        <w:tc>
          <w:tcPr>
            <w:tcW w:w="2916" w:type="dxa"/>
            <w:tcBorders/>
          </w:tcPr>
          <w:p>
            <w:pPr>
              <w:pStyle w:val="TableContents"/>
              <w:bidi w:val="0"/>
              <w:spacing w:before="0" w:after="0"/>
              <w:jc w:val="left"/>
              <w:rPr>
                <w:rFonts w:ascii="Times New Roman" w:hAnsi="Times New Roman"/>
                <w:sz w:val="20"/>
              </w:rPr>
            </w:pPr>
            <w:r>
              <w:rPr>
                <w:rFonts w:ascii="Times New Roman" w:hAnsi="Times New Roman"/>
                <w:sz w:val="20"/>
              </w:rPr>
              <w:t>Second Lien Term Loans due 2033</w:t>
            </w:r>
          </w:p>
        </w:tc>
        <w:tc>
          <w:tcPr>
            <w:tcW w:w="437"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3,238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45" w:type="dxa"/>
            <w:tcBorders/>
            <w:vAlign w:val="bottom"/>
          </w:tcPr>
          <w:p>
            <w:pPr>
              <w:pStyle w:val="TableContents"/>
              <w:bidi w:val="0"/>
              <w:spacing w:before="0" w:after="283"/>
              <w:jc w:val="right"/>
              <w:rPr/>
            </w:pPr>
            <w:r>
              <w:rPr/>
              <w:t>First day of each month</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2024, there were no revolving loan amounts outstanding under the $75.0 million First Lien Revolving Credit Facility due 2029. The undrawn commitments under the First Lien Revolving Credit Facility are subject to an unused fee of 1.0% per annum, paid quarterly, as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incurred $30.0 million of interest related to debt instruments in 2024 of which $4.5 million related to certain capital projects was capitalized to the consolidated balance sheet as of December 31, 2024. In 2023 and 2022, the Company incurred $41.0 million and $40.1 million of interest related to debt instruments, respectively, of which $1.5 million and $0 million was recorded to capitalized interest during such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First Lien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2024, the Company entered into a first-lien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undrawn commitments for the revolving loans, or the Revolving Loans, under the First Lien Revolving Credit Facility total $75.0 million. The First Lien Revolving Credit Facility also provides for a customary uncommitted incremental facility in an amount up to $50.0 million. The Company’s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will mature on August 13, 2029. Borrowings under the First Lien Revolving Credit Facility will be comprised of Base Rate Loans or SOFR Rate Loans, at the option of the Company, and accrue interest as follows: (A) for Revolving Loans that are Base Rate Loans, a rate ranging from 1.75% to 2.75% (depending on the total net leverage ratio in effect at such time) per annum, plus the greatest of: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 </w:t>
      </w:r>
    </w:p>
    <w:p>
      <w:pPr>
        <w:pStyle w:val="TextBody"/>
        <w:bidi w:val="0"/>
        <w:spacing w:before="240" w:after="0"/>
        <w:jc w:val="left"/>
        <w:rPr>
          <w:rFonts w:ascii="Times New Roman" w:hAnsi="Times New Roman"/>
          <w:sz w:val="20"/>
        </w:rPr>
      </w:pPr>
      <w:r>
        <w:rPr>
          <w:rFonts w:ascii="Times New Roman" w:hAnsi="Times New Roman"/>
          <w:sz w:val="20"/>
        </w:rPr>
        <w:t xml:space="preserve">The First Lien Revolving Credit Facility has customary affirmative and negative covenants, including restrictions on our ability to incur additional indebtedness, incur liens, make restricted payments, make optional prepayments on junior financings, and make asset sales, in each case, subject to customary exceptions and baskets. The First Lien Revolving Credit Facility is subject to financial covenants that require us to have (i) a maximum revolving credit facility net leverage ratio (measured by Revolving Loans outstanding, net of unrestricted cash and cash equivalents of up to $25.0 million) of no more than 1.00 to 1.00, (ii) minimum liquidity (measured by unrestricted cash and cash equivalents, together with undrawn Revolving Loan commitments) of $25.0 million, (iii) a collateral coverage ratio (measured by total first and second lien debt outstanding) of no less than 1.50 to 1.00, and (iv) a revolving credit facility collateral coverage ratio (measured by total Revolving Loan commitments, whether or not drawn) of no less than 3.00 to 1.00, in each case, tested on the facility closing date, and thereafter at the end of each fiscal quarter, beginning with our first full fiscal quarter ending after the facility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To the extent the financial covenants under the First Lien Revolving Credit Facility are not met as of the end of any fiscal quarter, we will have the opportunity to cure such financial covenant shortfall by making a mandatory prepayment of the Revolving Loans in an amount such that compliance with such financial covenants would be met on a pro forma basis following such prepayment prior to the occurrence of any default or event of default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incurred $2.9 million in deferred financing costs paid to third parties related to the First Lien Revolving Credit Facility, which were recorded in deferred charges on the consolidated balance sheet. As of December 31, 2024, there were no amounts outstanding under the First Lien Revolving Credit Facility.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Second Lien Term Loans </w:t>
      </w:r>
    </w:p>
    <w:p>
      <w:pPr>
        <w:pStyle w:val="TextBody"/>
        <w:bidi w:val="0"/>
        <w:spacing w:before="120" w:after="0"/>
        <w:jc w:val="left"/>
        <w:rPr>
          <w:rFonts w:ascii="Times New Roman" w:hAnsi="Times New Roman"/>
          <w:i/>
          <w:sz w:val="20"/>
        </w:rPr>
      </w:pPr>
      <w:r>
        <w:rPr>
          <w:rFonts w:ascii="Times New Roman" w:hAnsi="Times New Roman"/>
          <w:i/>
          <w:sz w:val="20"/>
        </w:rPr>
        <w:t xml:space="preserve">Second Lien Term Loans due 2033 </w:t>
      </w:r>
    </w:p>
    <w:p>
      <w:pPr>
        <w:pStyle w:val="TextBody"/>
        <w:bidi w:val="0"/>
        <w:spacing w:before="120" w:after="0"/>
        <w:jc w:val="left"/>
        <w:rPr>
          <w:rFonts w:ascii="Times New Roman" w:hAnsi="Times New Roman"/>
          <w:sz w:val="20"/>
        </w:rPr>
      </w:pPr>
      <w:r>
        <w:rPr>
          <w:rFonts w:ascii="Times New Roman" w:hAnsi="Times New Roman"/>
          <w:sz w:val="20"/>
        </w:rPr>
        <w:t xml:space="preserve">On December 27, 2024, the Company entered into a second-lien term loan credit agreement with Stonebriar Commercial Finance, LLC, as administrative agent, and Wilmington Trust, National Association, as collateral trustee, and the lenders party thereto, resulting in $450.0 million of second-lien term loans with a maturity date of January 1, 2033, or the Second Lien Term Loans due 2033. The Company received proceeds of $443.3 million, net of a 1.5% origination fee, and utilized such proceeds to (i) repay in full the then-outstanding $349.0 million, including accumulated paid-in-kind interest, of Second Lien Term Loans due 2026, (ii) pay $7.0 million of related accrued cash interest, (iii) pay a $5.1 million associated redemption fee, (iv) pay $2.0 million in non-lender fees and expenses, and (v) partially fund the repurchase of $78.4 million of certain equity securities and $7.1 million of outstanding stock-based compensation awards associated with tender offers to purchase for cash such equity instruments in December 2024.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scheduled to be repaid in (i) 12 consecutive equal monthly installments of interest, payable on the first day of each month commencing on January 1, 2025, (ii) followed by 84 consecutive equal monthly payments of principal and interest, payable on the first day of each consecutive month, and (iii) a final balloon payment in the amount of all unpaid principal, accrued and unpaid interest and any other amounts that may become due under the Second Lien Term Loan Credit Agreement on the maturity date of January 1, 2033. Borrowings bear interest at a fixed rate of 9.25% per annum. The Company may fully prepay all amounts due under the Second Lien Term Loan Agreement at any time prior to maturity, subject to the prepayment fee schedule set forth below. The Company is permitted to partially prepay between $50.0 million and $100.0 million prior to June 30, 2026 in connection with an initial public offering (directly or indirectly) and may make additional partial prepayments not to exceed $100.0 million in the aggregate at any time during the term of the Second Lien Term Loans due 2033. In the event of any prepayment (in whole or in part), the Company is subject to a prepayment fee equal to (i) 4.00% of the prepaid principal amount prior to December 27, 2025, (ii) 3.00% of the prepaid principal amount after December 27, 2025 but on or prior to December 27, 2026, (iii) 2.00% of the prepaid principal amount after December 27, 2026 but on or prior to December 27, 2027, and (iv) 1.00% of the prepaid principal amount thereafter. </w:t>
      </w:r>
    </w:p>
    <w:p>
      <w:pPr>
        <w:pStyle w:val="TextBody"/>
        <w:bidi w:val="0"/>
        <w:spacing w:before="240" w:after="0"/>
        <w:jc w:val="left"/>
        <w:rPr>
          <w:rFonts w:ascii="Times New Roman" w:hAnsi="Times New Roman"/>
          <w:sz w:val="20"/>
        </w:rPr>
      </w:pPr>
      <w:r>
        <w:rPr>
          <w:rFonts w:ascii="Times New Roman" w:hAnsi="Times New Roman"/>
          <w:sz w:val="20"/>
        </w:rPr>
        <w:t xml:space="preserve">The Second Lien Term Loans due 2033 are guaranteed by certain of the Company’s domestic and foreign subsidiaries and are secured by a second priority security interest in, and lien on, all the Company’s U.S.-flagged vessels. The credit agreement contains customary representations and warranties, covenants and events of default, but only one financial maintenance covenant, which is a $25.0 million minimum cash liquidity requirement. The carrying value of the Company’s Second Lien Term Loans due 2033 approximates their fair value. </w:t>
      </w:r>
    </w:p>
    <w:p>
      <w:pPr>
        <w:pStyle w:val="TextBody"/>
        <w:bidi w:val="0"/>
        <w:spacing w:before="360" w:after="0"/>
        <w:jc w:val="left"/>
        <w:rPr>
          <w:rFonts w:ascii="Times New Roman" w:hAnsi="Times New Roman"/>
          <w:i/>
          <w:sz w:val="20"/>
        </w:rPr>
      </w:pPr>
      <w:r>
        <w:rPr>
          <w:rFonts w:ascii="Times New Roman" w:hAnsi="Times New Roman"/>
          <w:i/>
          <w:sz w:val="20"/>
        </w:rPr>
        <w:t xml:space="preserve">Second Lien Term Loans due 2026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2020, the Company, as borrower, and Hornbeck Offshore Services, LLC, as co-borrower, entered into a second-lien term loan credit agreement with its former first-lien term lenders, and Wilmington Trust, National Association, as administrative agent and collateral agent for the lenders, resulting in $287.6 million of second-lien term loans with a maturity date of March 31, 2026, or the Second Lien Term Loans due 2026. The outstanding balance of the Second Lien Term Loans due 2026 increased by $7.8 million, $30.4 million and $29.3 million as a result of paid-in-kind, or PIK, interest incurred at the option of the Company during 2023, 2022 and 2021, respectively. In December 2021, the then-outstanding term loan balance was reduced by $15.0 million in connection with a preemptive rights offering of equity, as further discussed in Note 13.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27, 2024, the Company repaid in full the $349.0 million outstanding balance, inclusive of accumulated PIK interest, of Second Lien Term Loans due 2026, plus $7.0 million of related accrued cash interest and a $5.1 million redemption fee. </w:t>
      </w:r>
    </w:p>
    <w:p>
      <w:pPr>
        <w:pStyle w:val="TextBody"/>
        <w:bidi w:val="0"/>
        <w:spacing w:before="360" w:after="0"/>
        <w:jc w:val="left"/>
        <w:rPr>
          <w:rFonts w:ascii="Times New Roman" w:hAnsi="Times New Roman"/>
          <w:b/>
          <w:sz w:val="20"/>
        </w:rPr>
      </w:pPr>
      <w:r>
        <w:rPr>
          <w:rFonts w:ascii="Times New Roman" w:hAnsi="Times New Roman"/>
          <w:b/>
          <w:sz w:val="20"/>
        </w:rPr>
        <w:t xml:space="preserve">12. Liability-Classified Warrants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2020, the Company entered into the Creditor Warrant Agreement, pursuant to which the Company issued 1.6 million Creditor Warrants. Subject to adjustment, if applicable, the Creditor Warrants are exercisable at $27.83 per share, which was based on an enterprise value of $621.2 million, for seven years from September 4, 2020 for: (i) one share of common stock per Creditor Warrant, or up to 1.6 million shares in the aggregate, or (ii) one Jones Act Warrant in lieu of common stock if the holder cannot establish, at the time of exercise, that it is a U.S. Citizen and conversion of the Creditor Warrant would result in a violation of the Jones Act. </w:t>
      </w:r>
    </w:p>
    <w:p>
      <w:pPr>
        <w:pStyle w:val="TextBody"/>
        <w:bidi w:val="0"/>
        <w:spacing w:before="240" w:after="0"/>
        <w:jc w:val="left"/>
        <w:rPr>
          <w:rFonts w:ascii="Times New Roman" w:hAnsi="Times New Roman"/>
          <w:sz w:val="20"/>
        </w:rPr>
      </w:pPr>
      <w:r>
        <w:rPr>
          <w:rFonts w:ascii="Times New Roman" w:hAnsi="Times New Roman"/>
          <w:sz w:val="20"/>
        </w:rPr>
        <w:t xml:space="preserve">Upon issuance, the Creditor Warrants were accounted for as liabilities due to certain anti-dilution provisions in the Creditor Warrant Agreement, which indexed the warrants to other equity-linked instruments requiring their classification as a liability pursuant to ASC 815, </w:t>
      </w:r>
      <w:r>
        <w:rPr>
          <w:rFonts w:ascii="Times New Roman" w:hAnsi="Times New Roman"/>
          <w:i/>
          <w:sz w:val="20"/>
        </w:rPr>
        <w:t>Derivatives and Hedging</w:t>
      </w:r>
      <w:r>
        <w:rPr>
          <w:rFonts w:ascii="Times New Roman" w:hAnsi="Times New Roman"/>
          <w:sz w:val="20"/>
        </w:rPr>
        <w:t xml:space="preserve">. On December 10, 2024, the Creditor Warrant Agreement was amended to remove such anti-dilution provisions. As a result, the Creditor Warrants are effectively indexed to the Company’s common stock and are thus accounted for as stockholders’ equity since the effective date of the amendment. Accordingly, the Company reclassified the then-current fair value of the Creditor Warrants, or $70.1 million, from long-term liabilities to additional paid-in-capital on December 10, 2024. </w:t>
      </w:r>
    </w:p>
    <w:p>
      <w:pPr>
        <w:pStyle w:val="TextBody"/>
        <w:bidi w:val="0"/>
        <w:spacing w:before="240" w:after="0"/>
        <w:jc w:val="left"/>
        <w:rPr>
          <w:rFonts w:ascii="Times New Roman" w:hAnsi="Times New Roman"/>
          <w:sz w:val="20"/>
        </w:rPr>
      </w:pPr>
      <w:r>
        <w:rPr>
          <w:rFonts w:ascii="Times New Roman" w:hAnsi="Times New Roman"/>
          <w:sz w:val="20"/>
        </w:rPr>
        <w:t xml:space="preserve">To estimate the fair value of the Creditor Warrants, the Company, assisted by third-party valuation advisors, used a Black-Scholes model that utilized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estimated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fell within Level 3 of the fair value hierarchy, as there is currently no active trading market and certain inputs of the Black-Scholes model are not observable or corroborated by available market data. Based on the lack of trading history of our privately-held equity, the Company considered the estimated fair value of its common stock to be the most critical assumption in the determination of the fair value of the Creditor Warrants. At December 10, 2024, the date of the amendment to the Creditor Warrant Agreement, every one-dollar change in the estimated fair value per share of the underlying common stock would have had an approximate $1.5 million impact on the estimated fair value of the Creditor Warrants. </w:t>
      </w:r>
    </w:p>
    <w:p>
      <w:pPr>
        <w:pStyle w:val="TextBody"/>
        <w:bidi w:val="0"/>
        <w:spacing w:before="240" w:after="0"/>
        <w:jc w:val="left"/>
        <w:rPr>
          <w:rFonts w:ascii="Times New Roman" w:hAnsi="Times New Roman"/>
          <w:sz w:val="20"/>
        </w:rPr>
      </w:pPr>
      <w:r>
        <w:rPr>
          <w:rFonts w:ascii="Times New Roman" w:hAnsi="Times New Roman"/>
          <w:sz w:val="20"/>
        </w:rPr>
        <w:t xml:space="preserve">The inputs to the Black-Scholes model utilized for the valuation of the Creditor Warrants at December 10, 2024 and December 31, 2023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59"/>
        <w:gridCol w:w="612"/>
        <w:gridCol w:w="271"/>
        <w:gridCol w:w="1084"/>
        <w:gridCol w:w="275"/>
        <w:gridCol w:w="519"/>
        <w:gridCol w:w="271"/>
        <w:gridCol w:w="1084"/>
        <w:gridCol w:w="280"/>
      </w:tblGrid>
      <w:tr>
        <w:trPr/>
        <w:tc>
          <w:tcPr>
            <w:tcW w:w="3359" w:type="dxa"/>
            <w:tcBorders/>
            <w:vAlign w:val="center"/>
          </w:tcPr>
          <w:p>
            <w:pPr>
              <w:pStyle w:val="TableContents"/>
              <w:bidi w:val="0"/>
              <w:spacing w:before="0" w:after="283"/>
              <w:jc w:val="left"/>
              <w:rPr>
                <w:sz w:val="4"/>
                <w:szCs w:val="4"/>
              </w:rPr>
            </w:pPr>
            <w:r>
              <w:rPr>
                <w:sz w:val="4"/>
                <w:szCs w:val="4"/>
              </w:rPr>
            </w:r>
          </w:p>
        </w:tc>
        <w:tc>
          <w:tcPr>
            <w:tcW w:w="612"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19"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35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10,</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280" w:type="dxa"/>
            <w:tcBorders/>
            <w:vAlign w:val="bottom"/>
          </w:tcPr>
          <w:p>
            <w:pPr>
              <w:pStyle w:val="TableContents"/>
              <w:bidi w:val="0"/>
              <w:spacing w:before="0" w:after="283"/>
              <w:jc w:val="left"/>
              <w:rPr/>
            </w:pPr>
            <w:r>
              <w:rPr/>
              <w:t> </w:t>
            </w:r>
          </w:p>
        </w:tc>
      </w:tr>
      <w:tr>
        <w:trPr/>
        <w:tc>
          <w:tcPr>
            <w:tcW w:w="3359" w:type="dxa"/>
            <w:tcBorders/>
            <w:vAlign w:val="bottom"/>
          </w:tcPr>
          <w:p>
            <w:pPr>
              <w:pStyle w:val="TableContents"/>
              <w:bidi w:val="0"/>
              <w:spacing w:before="0" w:after="283"/>
              <w:jc w:val="left"/>
              <w:rPr/>
            </w:pPr>
            <w:r>
              <w:rPr/>
              <w:t> </w:t>
            </w:r>
          </w:p>
        </w:tc>
        <w:tc>
          <w:tcPr>
            <w:tcW w:w="612"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80" w:type="dxa"/>
            <w:tcBorders/>
            <w:vAlign w:val="bottom"/>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per share of the underlying common stock</w:t>
            </w:r>
          </w:p>
        </w:tc>
        <w:tc>
          <w:tcPr>
            <w:tcW w:w="61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66.45</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084" w:type="dxa"/>
            <w:tcBorders/>
            <w:shd w:fill="CCEEFF" w:val="clear"/>
            <w:vAlign w:val="bottom"/>
          </w:tcPr>
          <w:p>
            <w:pPr>
              <w:pStyle w:val="TableContents"/>
              <w:bidi w:val="0"/>
              <w:spacing w:before="0" w:after="283"/>
              <w:jc w:val="right"/>
              <w:rPr/>
            </w:pPr>
            <w:r>
              <w:rPr/>
              <w:t>67.23</w:t>
            </w:r>
          </w:p>
        </w:tc>
        <w:tc>
          <w:tcPr>
            <w:tcW w:w="280" w:type="dxa"/>
            <w:tcBorders/>
            <w:shd w:fill="CCEEFF" w:val="clear"/>
            <w:vAlign w:val="bottom"/>
          </w:tcPr>
          <w:p>
            <w:pPr>
              <w:pStyle w:val="TableContents"/>
              <w:bidi w:val="0"/>
              <w:spacing w:before="0" w:after="283"/>
              <w:jc w:val="left"/>
              <w:rPr/>
            </w:pPr>
            <w:r>
              <w:rPr/>
              <w:t> </w:t>
            </w:r>
          </w:p>
        </w:tc>
      </w:tr>
      <w:tr>
        <w:trPr/>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Warrant exercise price</w:t>
            </w:r>
          </w:p>
        </w:tc>
        <w:tc>
          <w:tcPr>
            <w:tcW w:w="61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27.83</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w:t>
            </w:r>
          </w:p>
        </w:tc>
        <w:tc>
          <w:tcPr>
            <w:tcW w:w="1084" w:type="dxa"/>
            <w:tcBorders/>
            <w:vAlign w:val="bottom"/>
          </w:tcPr>
          <w:p>
            <w:pPr>
              <w:pStyle w:val="TableContents"/>
              <w:bidi w:val="0"/>
              <w:spacing w:before="0" w:after="283"/>
              <w:jc w:val="right"/>
              <w:rPr/>
            </w:pPr>
            <w:r>
              <w:rPr/>
              <w:t>27.83</w:t>
            </w:r>
          </w:p>
        </w:tc>
        <w:tc>
          <w:tcPr>
            <w:tcW w:w="280" w:type="dxa"/>
            <w:tcBorders/>
            <w:vAlign w:val="bottom"/>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Remaining contractual term (years)</w:t>
            </w:r>
          </w:p>
        </w:tc>
        <w:tc>
          <w:tcPr>
            <w:tcW w:w="61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2.73</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3.68</w:t>
            </w:r>
          </w:p>
        </w:tc>
        <w:tc>
          <w:tcPr>
            <w:tcW w:w="280" w:type="dxa"/>
            <w:tcBorders/>
            <w:shd w:fill="CCEEFF" w:val="clear"/>
            <w:vAlign w:val="bottom"/>
          </w:tcPr>
          <w:p>
            <w:pPr>
              <w:pStyle w:val="TableContents"/>
              <w:bidi w:val="0"/>
              <w:spacing w:before="0" w:after="283"/>
              <w:jc w:val="left"/>
              <w:rPr/>
            </w:pPr>
            <w:r>
              <w:rPr/>
              <w:t> </w:t>
            </w:r>
          </w:p>
        </w:tc>
      </w:tr>
      <w:tr>
        <w:trPr/>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1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55</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60</w:t>
            </w:r>
          </w:p>
        </w:tc>
        <w:tc>
          <w:tcPr>
            <w:tcW w:w="280" w:type="dxa"/>
            <w:tcBorders/>
            <w:vAlign w:val="bottom"/>
          </w:tcPr>
          <w:p>
            <w:pPr>
              <w:pStyle w:val="TableContents"/>
              <w:bidi w:val="0"/>
              <w:spacing w:before="0" w:after="283"/>
              <w:jc w:val="left"/>
              <w:rPr/>
            </w:pPr>
            <w:r>
              <w:rPr/>
              <w:t>% </w:t>
            </w:r>
          </w:p>
        </w:tc>
      </w:tr>
      <w:tr>
        <w:trPr/>
        <w:tc>
          <w:tcPr>
            <w:tcW w:w="33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rate</w:t>
            </w:r>
          </w:p>
        </w:tc>
        <w:tc>
          <w:tcPr>
            <w:tcW w:w="612"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4.04</w:t>
            </w:r>
          </w:p>
        </w:tc>
        <w:tc>
          <w:tcPr>
            <w:tcW w:w="275" w:type="dxa"/>
            <w:tcBorders/>
            <w:shd w:fill="CCEEFF" w:val="clear"/>
            <w:vAlign w:val="bottom"/>
          </w:tcPr>
          <w:p>
            <w:pPr>
              <w:pStyle w:val="TableContents"/>
              <w:bidi w:val="0"/>
              <w:spacing w:before="0" w:after="283"/>
              <w:jc w:val="left"/>
              <w:rPr/>
            </w:pPr>
            <w:r>
              <w:rPr/>
              <w:t>% </w:t>
            </w:r>
          </w:p>
        </w:tc>
        <w:tc>
          <w:tcPr>
            <w:tcW w:w="519"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right"/>
              <w:rPr/>
            </w:pPr>
            <w:r>
              <w:rPr/>
              <w:t>3.91</w:t>
            </w:r>
          </w:p>
        </w:tc>
        <w:tc>
          <w:tcPr>
            <w:tcW w:w="280" w:type="dxa"/>
            <w:tcBorders/>
            <w:shd w:fill="CCEEFF" w:val="clear"/>
            <w:vAlign w:val="bottom"/>
          </w:tcPr>
          <w:p>
            <w:pPr>
              <w:pStyle w:val="TableContents"/>
              <w:bidi w:val="0"/>
              <w:spacing w:before="0" w:after="283"/>
              <w:jc w:val="left"/>
              <w:rPr/>
            </w:pPr>
            <w:r>
              <w:rPr/>
              <w:t>% </w:t>
            </w:r>
          </w:p>
        </w:tc>
      </w:tr>
      <w:tr>
        <w:trPr/>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12"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0</w:t>
            </w:r>
          </w:p>
        </w:tc>
        <w:tc>
          <w:tcPr>
            <w:tcW w:w="275"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0</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an independent external valuation performed as of December 10, 2024, the estimated fair value of the Creditor Warrants was determined to be $70.1 million, or $44.01 per warrant, representing an increase in value since their original issuance on September 4, 2020 of approximately $61.8 million, or $38.85 per warrant.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change in fair value of the liability-classified warrants for the years ended December 31, 2024, 2023 and 2022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63"/>
        <w:gridCol w:w="362"/>
        <w:gridCol w:w="146"/>
        <w:gridCol w:w="766"/>
        <w:gridCol w:w="155"/>
        <w:gridCol w:w="362"/>
        <w:gridCol w:w="146"/>
        <w:gridCol w:w="718"/>
        <w:gridCol w:w="60"/>
        <w:gridCol w:w="362"/>
        <w:gridCol w:w="146"/>
        <w:gridCol w:w="717"/>
        <w:gridCol w:w="69"/>
      </w:tblGrid>
      <w:tr>
        <w:trPr/>
        <w:tc>
          <w:tcPr>
            <w:tcW w:w="4563"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357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9" w:type="dxa"/>
            <w:tcBorders/>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9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8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9"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75,475</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64,558</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23,150</w:t>
            </w:r>
          </w:p>
        </w:tc>
        <w:tc>
          <w:tcPr>
            <w:tcW w:w="69"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Issuances</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Revaluations included in earnings, net</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(5,412</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10,917</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41,408</w:t>
            </w:r>
          </w:p>
        </w:tc>
        <w:tc>
          <w:tcPr>
            <w:tcW w:w="69"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Exercises</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Forfeitures/expirations</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4563"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Reclassifications to equity</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283"/>
              <w:jc w:val="right"/>
              <w:rPr/>
            </w:pPr>
            <w:r>
              <w:rPr/>
              <w:t>(70,063</w:t>
            </w:r>
          </w:p>
        </w:tc>
        <w:tc>
          <w:tcPr>
            <w:tcW w:w="155"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45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8" w:type="dxa"/>
            <w:tcBorders/>
            <w:shd w:fill="CCEEFF" w:val="clear"/>
            <w:vAlign w:val="bottom"/>
          </w:tcPr>
          <w:p>
            <w:pPr>
              <w:pStyle w:val="TableContents"/>
              <w:bidi w:val="0"/>
              <w:spacing w:before="0" w:after="283"/>
              <w:jc w:val="right"/>
              <w:rPr/>
            </w:pPr>
            <w:r>
              <w:rPr/>
              <w:t>75,475</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64,558</w:t>
            </w:r>
          </w:p>
        </w:tc>
        <w:tc>
          <w:tcPr>
            <w:tcW w:w="69" w:type="dxa"/>
            <w:tcBorders/>
            <w:shd w:fill="CCEEFF" w:val="clear"/>
            <w:vAlign w:val="bottom"/>
          </w:tcPr>
          <w:p>
            <w:pPr>
              <w:pStyle w:val="TableContents"/>
              <w:bidi w:val="0"/>
              <w:spacing w:before="0" w:after="283"/>
              <w:jc w:val="left"/>
              <w:rPr/>
            </w:pPr>
            <w:r>
              <w:rPr/>
              <w:t> </w:t>
            </w:r>
          </w:p>
        </w:tc>
      </w:tr>
      <w:tr>
        <w:trPr/>
        <w:tc>
          <w:tcPr>
            <w:tcW w:w="4563"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were no exercises of Creditor Warrants during the years ended December 31, 2024, 2023 and 2022. See Note 13 for further discussion related to the Creditor Warrants and the Company’s tender offer to purchase certain equity instruments for cash that was completed on December 31, 2024. </w:t>
      </w:r>
    </w:p>
    <w:p>
      <w:pPr>
        <w:pStyle w:val="TextBody"/>
        <w:bidi w:val="0"/>
        <w:spacing w:before="360" w:after="0"/>
        <w:jc w:val="left"/>
        <w:rPr>
          <w:rFonts w:ascii="Times New Roman" w:hAnsi="Times New Roman"/>
          <w:b/>
          <w:sz w:val="20"/>
        </w:rPr>
      </w:pPr>
      <w:r>
        <w:rPr>
          <w:rFonts w:ascii="Times New Roman" w:hAnsi="Times New Roman"/>
          <w:b/>
          <w:sz w:val="20"/>
        </w:rPr>
        <w:t xml:space="preserve">13. Stockholders’ Equity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up to 50,000,000 shares of common stock, $0.00001 par value per share. The Company had issued and outstanding common shares totaling 5.4 million and 5.6 million as of December 31,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Jones Act Warrants </w:t>
      </w:r>
    </w:p>
    <w:p>
      <w:pPr>
        <w:pStyle w:val="TextBody"/>
        <w:bidi w:val="0"/>
        <w:spacing w:before="120" w:after="0"/>
        <w:jc w:val="left"/>
        <w:rPr>
          <w:rFonts w:ascii="Times New Roman" w:hAnsi="Times New Roman"/>
          <w:sz w:val="20"/>
        </w:rPr>
      </w:pPr>
      <w:r>
        <w:rPr>
          <w:rFonts w:ascii="Times New Roman" w:hAnsi="Times New Roman"/>
          <w:sz w:val="20"/>
        </w:rPr>
        <w:t xml:space="preserve">The Jones Act, which applies to companies that engage in U.S. coastwise trade, requires that, among other things, the aggregate ownership of common stock by non-U.S. citizens be not more than 25% of the Company’s outstanding common stock. On September 4, 2020, in order to comply with the Jones Act, the Company entered into the Jones Act Warrant Agreement, pursuant to which the Company issued 10.5 million Jones Act Warrants to eligible non-U.S. citizens in settlement of certain then-existing liabilities and in connection with an equity rights offering. As part of a preemptive rights offering, the Company issued an additional 1.6 million Jones Act Warrants on December 22, 2021. As of December 31, 2024, holders of the Jones Act Warrants are entitled to acquire up to 10.5 million shares of common stock in the aggregate at an exercise price of $0.00001 per share, subject to the U.S. citizen determination procedures and an adjustment as described in the Jones Act Warrant Agreement. There were no exercises of Jones Act Warrants during the years ended December 31, 2024 and 2023. </w:t>
      </w:r>
    </w:p>
    <w:p>
      <w:pPr>
        <w:pStyle w:val="TextBody"/>
        <w:bidi w:val="0"/>
        <w:spacing w:before="240" w:after="0"/>
        <w:jc w:val="left"/>
        <w:rPr>
          <w:rFonts w:ascii="Times New Roman" w:hAnsi="Times New Roman"/>
          <w:sz w:val="20"/>
        </w:rPr>
      </w:pPr>
      <w:r>
        <w:rPr>
          <w:rFonts w:ascii="Times New Roman" w:hAnsi="Times New Roman"/>
          <w:sz w:val="20"/>
        </w:rPr>
        <w:t xml:space="preserve">On December 31, 2020, the Jones Act Warrant Agreement was amended to remove certain anti-dilution provisions. As a result, the Jones Act Warrants are effectively indexed to the Company’s common stock and are thus classified as stockholders’ equity at their fair value on the date of the amendment for then-outstanding warrants or on the date of issuance for all subsequent issuances, which totaled $111.5 million and $119.9 million as of December 31,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Creditor Warrants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4, 2020, the Company entered into the Creditor Warrant Agreement, pursuant to which the Company issued 1.6 million Creditor Warrants. Subject to adjustment, if applicable, the Creditor Warrants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exercisable at $27.83 per share, which was based on an enterprise value of $621.2 million, for seven years from September 4, 2020 for: (i) one share of common stock per Creditor Warrant, or up to 1.6 million shares in the aggregate, or (ii) one Jones Act Warrant in lieu of common stock if the holder cannot establish, at the time of exercise, that it is a U.S. Citizen and conversion of the Creditor Warrant would result in a violation of the Jones Act. </w:t>
      </w:r>
    </w:p>
    <w:p>
      <w:pPr>
        <w:pStyle w:val="TextBody"/>
        <w:bidi w:val="0"/>
        <w:spacing w:before="240" w:after="0"/>
        <w:jc w:val="left"/>
        <w:rPr>
          <w:rFonts w:ascii="Times New Roman" w:hAnsi="Times New Roman"/>
          <w:sz w:val="20"/>
        </w:rPr>
      </w:pPr>
      <w:r>
        <w:rPr>
          <w:rFonts w:ascii="Times New Roman" w:hAnsi="Times New Roman"/>
          <w:sz w:val="20"/>
        </w:rPr>
        <w:t xml:space="preserve">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warrant shall be, immediately after such event, exercisable for the shares or other securities the warrant holder would have been entitled to had the warrant been exercised prior to the event. </w:t>
      </w:r>
    </w:p>
    <w:p>
      <w:pPr>
        <w:pStyle w:val="TextBody"/>
        <w:bidi w:val="0"/>
        <w:spacing w:before="240" w:after="0"/>
        <w:jc w:val="left"/>
        <w:rPr>
          <w:rFonts w:ascii="Times New Roman" w:hAnsi="Times New Roman"/>
          <w:sz w:val="20"/>
        </w:rPr>
      </w:pPr>
      <w:r>
        <w:rPr>
          <w:rFonts w:ascii="Times New Roman" w:hAnsi="Times New Roman"/>
          <w:sz w:val="20"/>
        </w:rPr>
        <w:t xml:space="preserve">On December 10, 2024, the Creditor Warrant Agreement was amended to remove certain anti-dilution provisions. As a result, the Creditor Warrants are effectively indexed to the Company’s common stock and are thus classified as stockholders’ equity at their fair value on the date of the amendment for the then-outstanding warrants, which totaled $67.7 million as of December 31, 2024, or on the date of issuance for all subsequent issuances.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Tender Offer </w:t>
      </w:r>
    </w:p>
    <w:p>
      <w:pPr>
        <w:pStyle w:val="TextBody"/>
        <w:bidi w:val="0"/>
        <w:spacing w:before="120" w:after="0"/>
        <w:jc w:val="left"/>
        <w:rPr>
          <w:rFonts w:ascii="Times New Roman" w:hAnsi="Times New Roman"/>
          <w:sz w:val="20"/>
        </w:rPr>
      </w:pPr>
      <w:r>
        <w:rPr>
          <w:rFonts w:ascii="Times New Roman" w:hAnsi="Times New Roman"/>
          <w:sz w:val="20"/>
        </w:rPr>
        <w:t xml:space="preserve">On December 12, 2024, the Company commenced a tender offer to purchase for cash certain of its equity securities at a unit price of $65.67. As a result of the tender offer, the Company purchased 274,614 shares of common stock, 883,303 Jones Act Warrants and 62,294 Creditor Warrants for an aggregate purchase price of $78.4 million on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2021, the Company concluded a preemptive rights offering of equity to certain eligible stockholders and Jones Act Warrant holders. As a result, the Company received gross cash proceeds of $20.0 million and converted $15.0 million in the aggregate principal amount of the Second Lien Term Loans in lieu of cash for the issuance of 182,987 shares of common stock and 1.6 million Jones Act Warrants at a purchase price of $20.00 per share or warrant. The Company incurred $0.9 million in direct incremental issuance costs that were recorded as a reduction of additional paid-in capital.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November 29, 2021, the Company established the Stock Purchase Plan, or SPP, to promote investment in the Company by directors and executives and to advance the interests of the Company and its stockholders by attracting, retaining and motivating key personnel. Concurrent with the closing of the preemptive rights offering on December 22, 2021, the Company issued 100,745 shares of common stock under the SPP for gross cash proceeds of $2.0 million. </w:t>
      </w:r>
    </w:p>
    <w:p>
      <w:pPr>
        <w:pStyle w:val="TextBody"/>
        <w:bidi w:val="0"/>
        <w:spacing w:before="360" w:after="0"/>
        <w:jc w:val="left"/>
        <w:rPr>
          <w:rFonts w:ascii="Times New Roman" w:hAnsi="Times New Roman"/>
          <w:b/>
          <w:sz w:val="20"/>
        </w:rPr>
      </w:pPr>
      <w:r>
        <w:rPr>
          <w:rFonts w:ascii="Times New Roman" w:hAnsi="Times New Roman"/>
          <w:b/>
          <w:sz w:val="20"/>
        </w:rPr>
        <w:t xml:space="preserve">14. Stock-Based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Incentive Compensation Plan </w:t>
      </w:r>
    </w:p>
    <w:p>
      <w:pPr>
        <w:pStyle w:val="TextBody"/>
        <w:bidi w:val="0"/>
        <w:spacing w:before="120" w:after="0"/>
        <w:jc w:val="left"/>
        <w:rPr>
          <w:rFonts w:ascii="Times New Roman" w:hAnsi="Times New Roman"/>
          <w:sz w:val="20"/>
        </w:rPr>
      </w:pPr>
      <w:r>
        <w:rPr>
          <w:rFonts w:ascii="Times New Roman" w:hAnsi="Times New Roman"/>
          <w:sz w:val="20"/>
        </w:rPr>
        <w:t xml:space="preserve">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December 31, 2024, there were 2.1 million shares reserved for issuance related to granted awards and 0.1 million shares available for future grants to eligible individuals under the MIP.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December 2024, the Company commenced a tender offer to purchase for cash, among other shares, both unvested and vested, unsettled restricted stock units and stock options that were issued through the MIP. As a result, the Company cash settled 114,634 outstanding equity incentive awards with employees and directors for $7.1 million on December 31, 2024. In doing so, the Company accelerated unamortized stock-based compensation expense of $0.8 million related to the repurchased MIP awards and recorded additional stock-based compensation expense of $0.8 million for the excess of the purchase price over the fair value of the repurchased MIP awards.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impact of stock-based compensation expense related to the MIP on the Company’s operating results is reflected in the table below (in thousands, except for per share data):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48"/>
        <w:gridCol w:w="337"/>
        <w:gridCol w:w="140"/>
        <w:gridCol w:w="560"/>
        <w:gridCol w:w="60"/>
        <w:gridCol w:w="337"/>
        <w:gridCol w:w="140"/>
        <w:gridCol w:w="689"/>
        <w:gridCol w:w="60"/>
        <w:gridCol w:w="337"/>
        <w:gridCol w:w="140"/>
        <w:gridCol w:w="560"/>
        <w:gridCol w:w="64"/>
      </w:tblGrid>
      <w:tr>
        <w:trPr/>
        <w:tc>
          <w:tcPr>
            <w:tcW w:w="5148"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48"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02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4" w:type="dxa"/>
            <w:tcBorders/>
            <w:vAlign w:val="bottom"/>
          </w:tcPr>
          <w:p>
            <w:pPr>
              <w:pStyle w:val="TableContents"/>
              <w:bidi w:val="0"/>
              <w:spacing w:before="0" w:after="283"/>
              <w:jc w:val="left"/>
              <w:rPr/>
            </w:pPr>
            <w:r>
              <w:rPr/>
              <w:t> </w:t>
            </w:r>
          </w:p>
        </w:tc>
      </w:tr>
      <w:tr>
        <w:trPr/>
        <w:tc>
          <w:tcPr>
            <w:tcW w:w="5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taxes</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9,384</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19,097</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5,330</w:t>
            </w:r>
          </w:p>
        </w:tc>
        <w:tc>
          <w:tcPr>
            <w:tcW w:w="64" w:type="dxa"/>
            <w:tcBorders/>
            <w:shd w:fill="CCEEFF" w:val="clear"/>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48"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8,256</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15,637</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4,895</w:t>
            </w:r>
          </w:p>
        </w:tc>
        <w:tc>
          <w:tcPr>
            <w:tcW w:w="64" w:type="dxa"/>
            <w:tcBorders/>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per common share:</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14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0.48</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0.92</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0.29</w:t>
            </w:r>
          </w:p>
        </w:tc>
        <w:tc>
          <w:tcPr>
            <w:tcW w:w="64" w:type="dxa"/>
            <w:tcBorders/>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0.43</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0.82</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0.27</w:t>
            </w:r>
          </w:p>
        </w:tc>
        <w:tc>
          <w:tcPr>
            <w:tcW w:w="64" w:type="dxa"/>
            <w:tcBorders/>
            <w:shd w:fill="CCEEFF" w:val="clear"/>
            <w:vAlign w:val="bottom"/>
          </w:tcPr>
          <w:p>
            <w:pPr>
              <w:pStyle w:val="TableContents"/>
              <w:bidi w:val="0"/>
              <w:spacing w:before="0" w:after="283"/>
              <w:jc w:val="left"/>
              <w:rPr/>
            </w:pPr>
            <w:r>
              <w:rPr/>
              <w:t> </w:t>
            </w:r>
          </w:p>
        </w:tc>
      </w:tr>
      <w:tr>
        <w:trPr/>
        <w:tc>
          <w:tcPr>
            <w:tcW w:w="514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The MIP allows the Company to issue restricted stock units with either time-based or market-based vesting provisions. As of December 31, 2024, the Company had granted both types of restricted stock unit awards. The time-based restricted stock unit awards that were granted generally vest over a three-year period for employees and a one-year period for directors. Compensation expense related to time-based restricted stock unit awards, which is amortized over the applicable one- to three-year vesting period, is determined based on the fair value of the Company’s common stock on the date of grant applied to the total shares that are expected to fully vest. The market-based restricted stock unit awards that were granted vest based on the Company’s achievement of certain levels of total enterprise value as of the applicable vesting date. These market-based conditions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shares that could be received by an award recipient upon settlement of the market-based restricted stock unit award can range from 0% to 100% of the award depending on the actual level of total enterprise value attained by the Company on the applicable measurement date. Compensation expense related to market-based restricted stock unit awards is recognized over the period the restrictions lapse based on the fair value of the awards on the grant date applied to the shares that are expected to vest. The outstanding market-based awards are currently being amortized over an approximate five-year period that commenced on their grant date in June 2022.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has unamortized stock-based compensation expense of $5.7 million related to the time-based and market-based restricted stock units, which will be recognized on a straight-line basis over the remaining weighted-average vesting period, or 1.6 years. The Company has recorded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approximately $8.4 million, $18.7 million and $5.0 million of non-cash incentive compensation expense for the years ended December 31, 2024, 2023 and 2022, respectively, associated with restricted stock unit awards. Included in the 2024 non-cash incentive compensation expense for 2024 was $0.7 million for the acceleration of unamortized stock-based compensation expense related to the repurchased MIP awards and $0.2 million of additional stock-based compensation expense for the excess of the purchase price over the fair value of the repurchased MIP awards. As of December 31, 2024 and 2023, the Company had $0.0 million and $0.2 million of restricted stock awards redeemable in cash classified as other accrued liabilities on the balance sheet, respectively. The impact of the mark-to-market adjustment on stock-based compensation expense from such awards was ($0.1) million, $0.3 million and $0.0 million for the years ended December 31, 2024,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unit awards activity during the year ended December 31, 2024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10"/>
        <w:gridCol w:w="530"/>
        <w:gridCol w:w="181"/>
        <w:gridCol w:w="1724"/>
        <w:gridCol w:w="155"/>
        <w:gridCol w:w="530"/>
        <w:gridCol w:w="407"/>
        <w:gridCol w:w="1654"/>
        <w:gridCol w:w="64"/>
      </w:tblGrid>
      <w:tr>
        <w:trPr/>
        <w:tc>
          <w:tcPr>
            <w:tcW w:w="2510"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Avg. Fair</w:t>
              <w:br/>
              <w:t>Value Per Share</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 awards as of January 1, 2024</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1,193</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1654" w:type="dxa"/>
            <w:tcBorders/>
            <w:shd w:fill="CCEEFF" w:val="clear"/>
            <w:vAlign w:val="bottom"/>
          </w:tcPr>
          <w:p>
            <w:pPr>
              <w:pStyle w:val="TableContents"/>
              <w:bidi w:val="0"/>
              <w:spacing w:before="0" w:after="283"/>
              <w:jc w:val="right"/>
              <w:rPr/>
            </w:pPr>
            <w:r>
              <w:rPr/>
              <w:t>23.20</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62.22</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Cancellations during the period</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Vested and settled during the period</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49.08</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Repurchased during the period</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(76</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42.85</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982</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w:t>
            </w:r>
          </w:p>
        </w:tc>
        <w:tc>
          <w:tcPr>
            <w:tcW w:w="1654" w:type="dxa"/>
            <w:tcBorders/>
            <w:vAlign w:val="bottom"/>
          </w:tcPr>
          <w:p>
            <w:pPr>
              <w:pStyle w:val="TableContents"/>
              <w:bidi w:val="0"/>
              <w:spacing w:before="0" w:after="283"/>
              <w:jc w:val="right"/>
              <w:rPr/>
            </w:pPr>
            <w:r>
              <w:rPr/>
              <w:t>18.26</w:t>
            </w:r>
          </w:p>
        </w:tc>
        <w:tc>
          <w:tcPr>
            <w:tcW w:w="64"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7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Company’s restricted stock unit awards activity during the year ended December 31, 2023 (in thousands, except per share data):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510"/>
        <w:gridCol w:w="530"/>
        <w:gridCol w:w="181"/>
        <w:gridCol w:w="1724"/>
        <w:gridCol w:w="155"/>
        <w:gridCol w:w="530"/>
        <w:gridCol w:w="407"/>
        <w:gridCol w:w="1654"/>
        <w:gridCol w:w="64"/>
      </w:tblGrid>
      <w:tr>
        <w:trPr/>
        <w:tc>
          <w:tcPr>
            <w:tcW w:w="2510"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1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20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Avg. Fair</w:t>
              <w:br/>
              <w:t>Value Per Share</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 unit awards as of January 1, 2023</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1,065</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1654" w:type="dxa"/>
            <w:tcBorders/>
            <w:shd w:fill="CCEEFF" w:val="clear"/>
            <w:vAlign w:val="bottom"/>
          </w:tcPr>
          <w:p>
            <w:pPr>
              <w:pStyle w:val="TableContents"/>
              <w:bidi w:val="0"/>
              <w:spacing w:before="0" w:after="283"/>
              <w:jc w:val="right"/>
              <w:rPr/>
            </w:pPr>
            <w:r>
              <w:rPr/>
              <w:t>18.80</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393</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53.90</w:t>
            </w:r>
          </w:p>
        </w:tc>
        <w:tc>
          <w:tcPr>
            <w:tcW w:w="64" w:type="dxa"/>
            <w:tcBorders/>
            <w:vAlign w:val="bottom"/>
          </w:tcPr>
          <w:p>
            <w:pPr>
              <w:pStyle w:val="TableContents"/>
              <w:bidi w:val="0"/>
              <w:spacing w:before="0" w:after="283"/>
              <w:jc w:val="left"/>
              <w:rPr/>
            </w:pPr>
            <w:r>
              <w:rPr/>
              <w:t> </w:t>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Cancellations during the period</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 </w:t>
            </w:r>
          </w:p>
        </w:tc>
        <w:tc>
          <w:tcPr>
            <w:tcW w:w="1654"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tcPr>
          <w:p>
            <w:pPr>
              <w:pStyle w:val="TableContents"/>
              <w:bidi w:val="0"/>
              <w:spacing w:before="0" w:after="0"/>
              <w:jc w:val="left"/>
              <w:rPr>
                <w:rFonts w:ascii="Times New Roman" w:hAnsi="Times New Roman"/>
                <w:sz w:val="20"/>
              </w:rPr>
            </w:pPr>
            <w:r>
              <w:rPr>
                <w:rFonts w:ascii="Times New Roman" w:hAnsi="Times New Roman"/>
                <w:sz w:val="20"/>
              </w:rPr>
              <w:t>Vested and settled during the period</w:t>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724" w:type="dxa"/>
            <w:tcBorders/>
            <w:vAlign w:val="bottom"/>
          </w:tcPr>
          <w:p>
            <w:pPr>
              <w:pStyle w:val="TableContents"/>
              <w:bidi w:val="0"/>
              <w:spacing w:before="0" w:after="283"/>
              <w:jc w:val="right"/>
              <w:rPr/>
            </w:pPr>
            <w:r>
              <w:rPr/>
              <w:t>(265</w:t>
            </w:r>
          </w:p>
        </w:tc>
        <w:tc>
          <w:tcPr>
            <w:tcW w:w="155" w:type="dxa"/>
            <w:tcBorders/>
            <w:vAlign w:val="bottom"/>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pPr>
            <w:r>
              <w:rPr/>
              <w:t> </w:t>
            </w:r>
          </w:p>
        </w:tc>
        <w:tc>
          <w:tcPr>
            <w:tcW w:w="1654" w:type="dxa"/>
            <w:tcBorders/>
            <w:vAlign w:val="bottom"/>
          </w:tcPr>
          <w:p>
            <w:pPr>
              <w:pStyle w:val="TableContents"/>
              <w:bidi w:val="0"/>
              <w:spacing w:before="0" w:after="283"/>
              <w:jc w:val="right"/>
              <w:rPr/>
            </w:pPr>
            <w:r>
              <w:rPr/>
              <w:t>51.08</w:t>
            </w:r>
          </w:p>
        </w:tc>
        <w:tc>
          <w:tcPr>
            <w:tcW w:w="64" w:type="dxa"/>
            <w:tcBorders/>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72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25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53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724" w:type="dxa"/>
            <w:tcBorders/>
            <w:shd w:fill="CCEEFF" w:val="clear"/>
            <w:vAlign w:val="bottom"/>
          </w:tcPr>
          <w:p>
            <w:pPr>
              <w:pStyle w:val="TableContents"/>
              <w:bidi w:val="0"/>
              <w:spacing w:before="0" w:after="283"/>
              <w:jc w:val="right"/>
              <w:rPr/>
            </w:pPr>
            <w:r>
              <w:rPr/>
              <w:t>1,193</w:t>
            </w:r>
          </w:p>
        </w:tc>
        <w:tc>
          <w:tcPr>
            <w:tcW w:w="155" w:type="dxa"/>
            <w:tcBorders/>
            <w:shd w:fill="CCEEFF" w:val="clear"/>
            <w:vAlign w:val="bottom"/>
          </w:tcPr>
          <w:p>
            <w:pPr>
              <w:pStyle w:val="TableContents"/>
              <w:bidi w:val="0"/>
              <w:spacing w:before="0" w:after="283"/>
              <w:jc w:val="left"/>
              <w:rPr/>
            </w:pPr>
            <w:r>
              <w:rPr/>
              <w:t> </w:t>
            </w:r>
          </w:p>
        </w:tc>
        <w:tc>
          <w:tcPr>
            <w:tcW w:w="530" w:type="dxa"/>
            <w:tcBorders/>
            <w:shd w:fill="CCEEFF" w:val="clear"/>
            <w:vAlign w:val="bottom"/>
          </w:tcPr>
          <w:p>
            <w:pPr>
              <w:pStyle w:val="TableContents"/>
              <w:bidi w:val="0"/>
              <w:spacing w:before="0" w:after="283"/>
              <w:jc w:val="left"/>
              <w:rPr/>
            </w:pPr>
            <w:r>
              <w:rPr/>
              <w:t>  </w:t>
            </w:r>
          </w:p>
        </w:tc>
        <w:tc>
          <w:tcPr>
            <w:tcW w:w="407" w:type="dxa"/>
            <w:tcBorders/>
            <w:shd w:fill="CCEEFF" w:val="clear"/>
            <w:vAlign w:val="bottom"/>
          </w:tcPr>
          <w:p>
            <w:pPr>
              <w:pStyle w:val="TableContents"/>
              <w:bidi w:val="0"/>
              <w:spacing w:before="0" w:after="283"/>
              <w:jc w:val="left"/>
              <w:rPr/>
            </w:pPr>
            <w:r>
              <w:rPr/>
              <w:t>$</w:t>
            </w:r>
          </w:p>
        </w:tc>
        <w:tc>
          <w:tcPr>
            <w:tcW w:w="1654" w:type="dxa"/>
            <w:tcBorders/>
            <w:shd w:fill="CCEEFF" w:val="clear"/>
            <w:vAlign w:val="bottom"/>
          </w:tcPr>
          <w:p>
            <w:pPr>
              <w:pStyle w:val="TableContents"/>
              <w:bidi w:val="0"/>
              <w:spacing w:before="0" w:after="283"/>
              <w:jc w:val="right"/>
              <w:rPr/>
            </w:pPr>
            <w:r>
              <w:rPr/>
              <w:t>23.20</w:t>
            </w:r>
          </w:p>
        </w:tc>
        <w:tc>
          <w:tcPr>
            <w:tcW w:w="64" w:type="dxa"/>
            <w:tcBorders/>
            <w:shd w:fill="CCEEFF" w:val="clear"/>
            <w:vAlign w:val="bottom"/>
          </w:tcPr>
          <w:p>
            <w:pPr>
              <w:pStyle w:val="TableContents"/>
              <w:bidi w:val="0"/>
              <w:spacing w:before="0" w:after="283"/>
              <w:jc w:val="left"/>
              <w:rPr/>
            </w:pPr>
            <w:r>
              <w:rPr/>
              <w:t> </w:t>
            </w:r>
          </w:p>
        </w:tc>
      </w:tr>
      <w:tr>
        <w:trPr/>
        <w:tc>
          <w:tcPr>
            <w:tcW w:w="2510" w:type="dxa"/>
            <w:tcBorders/>
            <w:vAlign w:val="bottom"/>
          </w:tcPr>
          <w:p>
            <w:pPr>
              <w:pStyle w:val="TableContents"/>
              <w:bidi w:val="0"/>
              <w:spacing w:before="0" w:after="283"/>
              <w:jc w:val="left"/>
              <w:rPr>
                <w:sz w:val="4"/>
                <w:szCs w:val="4"/>
              </w:rPr>
            </w:pPr>
            <w:r>
              <w:rPr>
                <w:sz w:val="4"/>
                <w:szCs w:val="4"/>
              </w:rPr>
            </w:r>
          </w:p>
        </w:tc>
        <w:tc>
          <w:tcPr>
            <w:tcW w:w="53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72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30" w:type="dxa"/>
            <w:tcBorders/>
            <w:vAlign w:val="bottom"/>
          </w:tcPr>
          <w:p>
            <w:pPr>
              <w:pStyle w:val="TableContents"/>
              <w:bidi w:val="0"/>
              <w:spacing w:before="0" w:after="283"/>
              <w:jc w:val="left"/>
              <w:rPr/>
            </w:pPr>
            <w:r>
              <w:rPr/>
              <w:t>  </w:t>
            </w:r>
          </w:p>
        </w:tc>
        <w:tc>
          <w:tcPr>
            <w:tcW w:w="407" w:type="dxa"/>
            <w:tcBorders/>
            <w:vAlign w:val="bottom"/>
          </w:tcPr>
          <w:p>
            <w:pPr>
              <w:pStyle w:val="TableContents"/>
              <w:bidi w:val="0"/>
              <w:spacing w:before="0" w:after="283"/>
              <w:jc w:val="left"/>
              <w:rPr>
                <w:sz w:val="4"/>
                <w:szCs w:val="4"/>
              </w:rPr>
            </w:pPr>
            <w:r>
              <w:rPr>
                <w:sz w:val="4"/>
                <w:szCs w:val="4"/>
              </w:rPr>
            </w:r>
          </w:p>
        </w:tc>
        <w:tc>
          <w:tcPr>
            <w:tcW w:w="1654"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grant stock options under the MIP that have an exercise price no less than 100% of the fair market value of the Company’s common stock on the date of grant and expire ten years after the date of grant. The Company has granted stock options that are subject to both time-based and market-based vesting provisions. The outstanding stock options were subject to a three-year time-vest condition that commenced on their grant date in September 2020 and was satisfied in September 2023. The market-based vesting provision requires the Company to achieve certain levels of total enterprise value and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stock options that could be received by an award recipient of the market-based stock options can range from 0% to 100% of the award depending on the actual level of total enterprise value attained by the Company on the applicable measurement date. Vesting is generally subject to the grantee’s continued employment through the applicable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 Company has unamortized stock-based compensation expense of $0.9 million related to such stock options, which will be recognized on a straight-line basis over the remaining vesting period, or 2.5 years. The Company has recorded approximately $1.0 million, $0.4 million, and $0.4 million of non-cash incentive compensation expense for the years ended December 31, 2024, 2023 and 2022, respectively, associated with stock options. Included in the 2024 non-cash incentive compensation expense for 2024 was $0.1 million for the acceleration of unamortized stock-based compensation expense related to the repurchased MIP stock options and $0.6 million of additional stock-based compensation expense for the excess of the purchase price over the fair value of the repurchased MIP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the Company’s stock option activity for the year ended December 31, 2024 (in thousands, except per share data and years):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73"/>
        <w:gridCol w:w="356"/>
        <w:gridCol w:w="119"/>
        <w:gridCol w:w="778"/>
        <w:gridCol w:w="155"/>
        <w:gridCol w:w="356"/>
        <w:gridCol w:w="199"/>
        <w:gridCol w:w="813"/>
        <w:gridCol w:w="60"/>
        <w:gridCol w:w="356"/>
        <w:gridCol w:w="170"/>
        <w:gridCol w:w="1100"/>
        <w:gridCol w:w="60"/>
        <w:gridCol w:w="356"/>
        <w:gridCol w:w="181"/>
        <w:gridCol w:w="892"/>
        <w:gridCol w:w="64"/>
      </w:tblGrid>
      <w:tr>
        <w:trPr/>
        <w:tc>
          <w:tcPr>
            <w:tcW w:w="3373"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73"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4"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 at January 1, 2024</w:t>
            </w:r>
          </w:p>
        </w:tc>
        <w:tc>
          <w:tcPr>
            <w:tcW w:w="35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34,224</w:t>
            </w:r>
          </w:p>
        </w:tc>
        <w:tc>
          <w:tcPr>
            <w:tcW w:w="64" w:type="dxa"/>
            <w:tcBorders/>
            <w:shd w:fill="CCEEFF" w:val="clear"/>
            <w:vAlign w:val="bottom"/>
          </w:tcPr>
          <w:p>
            <w:pPr>
              <w:pStyle w:val="TableContents"/>
              <w:bidi w:val="0"/>
              <w:spacing w:before="0" w:after="283"/>
              <w:jc w:val="left"/>
              <w:rPr/>
            </w:pPr>
            <w:r>
              <w:rPr/>
              <w:t> </w:t>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period</w:t>
            </w:r>
          </w:p>
        </w:tc>
        <w:tc>
          <w:tcPr>
            <w:tcW w:w="35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expired during the period</w:t>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Repurchased during the period</w:t>
            </w:r>
          </w:p>
        </w:tc>
        <w:tc>
          <w:tcPr>
            <w:tcW w:w="35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2,131</w:t>
            </w:r>
          </w:p>
        </w:tc>
        <w:tc>
          <w:tcPr>
            <w:tcW w:w="64" w:type="dxa"/>
            <w:tcBorders/>
            <w:shd w:fill="CCEEFF" w:val="clear"/>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373" w:type="dxa"/>
            <w:tcBorders/>
          </w:tcPr>
          <w:p>
            <w:pPr>
              <w:pStyle w:val="TableContents"/>
              <w:bidi w:val="0"/>
              <w:spacing w:before="0" w:after="0"/>
              <w:jc w:val="left"/>
              <w:rPr>
                <w:rFonts w:ascii="Times New Roman" w:hAnsi="Times New Roman"/>
                <w:sz w:val="20"/>
              </w:rPr>
            </w:pPr>
            <w:r>
              <w:rPr>
                <w:rFonts w:ascii="Times New Roman" w:hAnsi="Times New Roman"/>
                <w:sz w:val="20"/>
              </w:rPr>
              <w:t>Stock options outstanding at December 31, 2024</w:t>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560</w:t>
            </w:r>
          </w:p>
        </w:tc>
        <w:tc>
          <w:tcPr>
            <w:tcW w:w="155"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31,586</w:t>
            </w:r>
          </w:p>
        </w:tc>
        <w:tc>
          <w:tcPr>
            <w:tcW w:w="64" w:type="dxa"/>
            <w:tcBorders/>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3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stock options outstanding at December 31, 2024</w:t>
            </w:r>
          </w:p>
        </w:tc>
        <w:tc>
          <w:tcPr>
            <w:tcW w:w="356"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3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89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represents the Company’s stock option activity for the year ended December 31, 2023 (in thousands, except per share data and years):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444"/>
        <w:gridCol w:w="363"/>
        <w:gridCol w:w="119"/>
        <w:gridCol w:w="777"/>
        <w:gridCol w:w="60"/>
        <w:gridCol w:w="363"/>
        <w:gridCol w:w="199"/>
        <w:gridCol w:w="811"/>
        <w:gridCol w:w="60"/>
        <w:gridCol w:w="363"/>
        <w:gridCol w:w="170"/>
        <w:gridCol w:w="1098"/>
        <w:gridCol w:w="60"/>
        <w:gridCol w:w="363"/>
        <w:gridCol w:w="182"/>
        <w:gridCol w:w="890"/>
        <w:gridCol w:w="66"/>
      </w:tblGrid>
      <w:tr>
        <w:trPr/>
        <w:tc>
          <w:tcPr>
            <w:tcW w:w="3444"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44"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8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w:t>
              <w:br/>
              <w:t>Shares</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2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3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 at January 1, 2023</w:t>
            </w:r>
          </w:p>
        </w:tc>
        <w:tc>
          <w:tcPr>
            <w:tcW w:w="36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27,227</w:t>
            </w:r>
          </w:p>
        </w:tc>
        <w:tc>
          <w:tcPr>
            <w:tcW w:w="66" w:type="dxa"/>
            <w:tcBorders/>
            <w:shd w:fill="CCEEFF" w:val="clear"/>
            <w:vAlign w:val="bottom"/>
          </w:tcPr>
          <w:p>
            <w:pPr>
              <w:pStyle w:val="TableContents"/>
              <w:bidi w:val="0"/>
              <w:spacing w:before="0" w:after="283"/>
              <w:jc w:val="left"/>
              <w:rPr/>
            </w:pPr>
            <w:r>
              <w:rPr/>
              <w:t> </w:t>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Granted during the period</w:t>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 during the period</w:t>
            </w:r>
          </w:p>
        </w:tc>
        <w:tc>
          <w:tcPr>
            <w:tcW w:w="36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Forfeited or expired during the period</w:t>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4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outstanding at December 31, 2023</w:t>
            </w:r>
          </w:p>
        </w:tc>
        <w:tc>
          <w:tcPr>
            <w:tcW w:w="363"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11"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98" w:type="dxa"/>
            <w:tcBorders/>
            <w:shd w:fill="CCEEFF" w:val="clear"/>
            <w:vAlign w:val="bottom"/>
          </w:tcPr>
          <w:p>
            <w:pPr>
              <w:pStyle w:val="TableContents"/>
              <w:bidi w:val="0"/>
              <w:spacing w:before="0" w:after="283"/>
              <w:jc w:val="right"/>
              <w:rPr/>
            </w:pPr>
            <w:r>
              <w:rPr/>
              <w:t>6.7</w:t>
            </w:r>
          </w:p>
        </w:tc>
        <w:tc>
          <w:tcPr>
            <w:tcW w:w="60"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34,224</w:t>
            </w:r>
          </w:p>
        </w:tc>
        <w:tc>
          <w:tcPr>
            <w:tcW w:w="66" w:type="dxa"/>
            <w:tcBorders/>
            <w:shd w:fill="CCEEFF" w:val="clear"/>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44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stock options outstanding at December 31, 2023</w:t>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444"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19"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sz w:val="4"/>
                <w:szCs w:val="4"/>
              </w:rPr>
            </w:pPr>
            <w:r>
              <w:rPr>
                <w:sz w:val="4"/>
                <w:szCs w:val="4"/>
              </w:rPr>
            </w:r>
          </w:p>
        </w:tc>
        <w:tc>
          <w:tcPr>
            <w:tcW w:w="10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sz w:val="4"/>
                <w:szCs w:val="4"/>
              </w:rPr>
            </w:pPr>
            <w:r>
              <w:rPr>
                <w:sz w:val="4"/>
                <w:szCs w:val="4"/>
              </w:rPr>
            </w:r>
          </w:p>
        </w:tc>
        <w:tc>
          <w:tcPr>
            <w:tcW w:w="890"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15.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net long-term deferred tax liabilities in the accompanying consolidated balance sheets included the following components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14"/>
        <w:gridCol w:w="495"/>
        <w:gridCol w:w="140"/>
        <w:gridCol w:w="879"/>
        <w:gridCol w:w="155"/>
        <w:gridCol w:w="495"/>
        <w:gridCol w:w="140"/>
        <w:gridCol w:w="879"/>
        <w:gridCol w:w="158"/>
      </w:tblGrid>
      <w:tr>
        <w:trPr/>
        <w:tc>
          <w:tcPr>
            <w:tcW w:w="4414"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14"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26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8" w:type="dxa"/>
            <w:tcBorders/>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0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liabilities: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Deferred charges and other liabilities</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27,218</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8,081</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assets (1)</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40,132</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67,350</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8,081</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assets: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9"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Fixed assets (1)</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(13,572</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(97,270</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(93,865</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(2,534</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(1,818</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(3,304</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(3,577</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Tax original issue discount and restructuring costs</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(1,757</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(7,396</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liability</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(75,087</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(69,397</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Foreign tax credit carryforward</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(34,796</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(31,423</w:t>
            </w:r>
          </w:p>
        </w:tc>
        <w:tc>
          <w:tcPr>
            <w:tcW w:w="158" w:type="dxa"/>
            <w:tcBorders/>
            <w:vAlign w:val="bottom"/>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limitation</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(39,896</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(34,882</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(27,266</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(14,751</w:t>
            </w:r>
          </w:p>
        </w:tc>
        <w:tc>
          <w:tcPr>
            <w:tcW w:w="158" w:type="dxa"/>
            <w:tcBorders/>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(281,910</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(270,681</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220,609</w:t>
            </w:r>
          </w:p>
        </w:tc>
        <w:tc>
          <w:tcPr>
            <w:tcW w:w="155" w:type="dxa"/>
            <w:tcBorders/>
            <w:vAlign w:val="bottom"/>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264,596</w:t>
            </w:r>
          </w:p>
        </w:tc>
        <w:tc>
          <w:tcPr>
            <w:tcW w:w="158" w:type="dxa"/>
            <w:tcBorders/>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4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deferred tax liabilities, net</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6,049</w:t>
            </w:r>
          </w:p>
        </w:tc>
        <w:tc>
          <w:tcPr>
            <w:tcW w:w="155" w:type="dxa"/>
            <w:tcBorders/>
            <w:shd w:fill="CCEEFF" w:val="clear"/>
            <w:vAlign w:val="bottom"/>
          </w:tcPr>
          <w:p>
            <w:pPr>
              <w:pStyle w:val="TableContents"/>
              <w:bidi w:val="0"/>
              <w:spacing w:before="0" w:after="283"/>
              <w:jc w:val="left"/>
              <w:rPr/>
            </w:pPr>
            <w:r>
              <w:rPr/>
              <w:t> </w:t>
            </w:r>
          </w:p>
        </w:tc>
        <w:tc>
          <w:tcPr>
            <w:tcW w:w="4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1,996</w:t>
            </w:r>
          </w:p>
        </w:tc>
        <w:tc>
          <w:tcPr>
            <w:tcW w:w="158" w:type="dxa"/>
            <w:tcBorders/>
            <w:shd w:fill="CCEEFF" w:val="clear"/>
            <w:vAlign w:val="bottom"/>
          </w:tcPr>
          <w:p>
            <w:pPr>
              <w:pStyle w:val="TableContents"/>
              <w:bidi w:val="0"/>
              <w:spacing w:before="0" w:after="283"/>
              <w:jc w:val="left"/>
              <w:rPr/>
            </w:pPr>
            <w:r>
              <w:rPr/>
              <w:t> </w:t>
            </w:r>
          </w:p>
        </w:tc>
      </w:tr>
      <w:tr>
        <w:trPr/>
        <w:tc>
          <w:tcPr>
            <w:tcW w:w="4414" w:type="dxa"/>
            <w:tcBorders/>
            <w:vAlign w:val="bottom"/>
          </w:tcPr>
          <w:p>
            <w:pPr>
              <w:pStyle w:val="TableContents"/>
              <w:bidi w:val="0"/>
              <w:spacing w:before="0" w:after="283"/>
              <w:jc w:val="left"/>
              <w:rPr>
                <w:sz w:val="4"/>
                <w:szCs w:val="4"/>
              </w:rPr>
            </w:pPr>
            <w:r>
              <w:rPr>
                <w:sz w:val="4"/>
                <w:szCs w:val="4"/>
              </w:rPr>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Deferred taxes associated with fixed assets flipped from an asset in 2023 to a liability in 2024 primarily due to bonus depreciation elections taken.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components of the income tax expense in the accompanying consolidated statements of operations were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028"/>
        <w:gridCol w:w="334"/>
        <w:gridCol w:w="140"/>
        <w:gridCol w:w="690"/>
        <w:gridCol w:w="60"/>
        <w:gridCol w:w="334"/>
        <w:gridCol w:w="140"/>
        <w:gridCol w:w="690"/>
        <w:gridCol w:w="60"/>
        <w:gridCol w:w="334"/>
        <w:gridCol w:w="140"/>
        <w:gridCol w:w="560"/>
        <w:gridCol w:w="62"/>
      </w:tblGrid>
      <w:tr>
        <w:trPr/>
        <w:tc>
          <w:tcPr>
            <w:tcW w:w="5028"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2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314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2" w:type="dxa"/>
            <w:tcBorders/>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2" w:type="dxa"/>
            <w:tcBorders/>
            <w:vAlign w:val="bottom"/>
          </w:tcPr>
          <w:p>
            <w:pPr>
              <w:pStyle w:val="TableContents"/>
              <w:bidi w:val="0"/>
              <w:spacing w:before="0" w:after="283"/>
              <w:jc w:val="left"/>
              <w:rPr/>
            </w:pPr>
            <w:r>
              <w:rPr/>
              <w:t> </w:t>
            </w:r>
          </w:p>
        </w:tc>
      </w:tr>
      <w:tr>
        <w:trPr/>
        <w:tc>
          <w:tcPr>
            <w:tcW w:w="50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Current tax expense:</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U.S.—federal and state</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7,986</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15,122</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7,119</w:t>
            </w:r>
          </w:p>
        </w:tc>
        <w:tc>
          <w:tcPr>
            <w:tcW w:w="62" w:type="dxa"/>
            <w:tcBorders/>
            <w:shd w:fill="CCEEFF" w:val="clear"/>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Current tax expense</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8,075</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15,155</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7,119</w:t>
            </w:r>
          </w:p>
        </w:tc>
        <w:tc>
          <w:tcPr>
            <w:tcW w:w="62" w:type="dxa"/>
            <w:tcBorders/>
            <w:vAlign w:val="bottom"/>
          </w:tcPr>
          <w:p>
            <w:pPr>
              <w:pStyle w:val="TableContents"/>
              <w:bidi w:val="0"/>
              <w:spacing w:before="0" w:after="283"/>
              <w:jc w:val="left"/>
              <w:rPr/>
            </w:pPr>
            <w:r>
              <w:rPr/>
              <w:t> </w:t>
            </w:r>
          </w:p>
        </w:tc>
      </w:tr>
      <w:tr>
        <w:trPr/>
        <w:tc>
          <w:tcPr>
            <w:tcW w:w="50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Deferred tax expense:</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U.S.—federal and state</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4,203</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1,340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404</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28"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expense</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4,607</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1,340</w:t>
            </w:r>
          </w:p>
        </w:tc>
        <w:tc>
          <w:tcPr>
            <w:tcW w:w="60" w:type="dxa"/>
            <w:tcBorders/>
            <w:vAlign w:val="bottom"/>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0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tax expense</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12,682</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16,495</w:t>
            </w:r>
          </w:p>
        </w:tc>
        <w:tc>
          <w:tcPr>
            <w:tcW w:w="60" w:type="dxa"/>
            <w:tcBorders/>
            <w:shd w:fill="CCEEFF" w:val="clear"/>
            <w:vAlign w:val="bottom"/>
          </w:tcPr>
          <w:p>
            <w:pPr>
              <w:pStyle w:val="TableContents"/>
              <w:bidi w:val="0"/>
              <w:spacing w:before="0" w:after="283"/>
              <w:jc w:val="left"/>
              <w:rPr/>
            </w:pPr>
            <w:r>
              <w:rPr/>
              <w:t> </w:t>
            </w:r>
          </w:p>
        </w:tc>
        <w:tc>
          <w:tcPr>
            <w:tcW w:w="3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7,174</w:t>
            </w:r>
          </w:p>
        </w:tc>
        <w:tc>
          <w:tcPr>
            <w:tcW w:w="62" w:type="dxa"/>
            <w:tcBorders/>
            <w:shd w:fill="CCEEFF" w:val="clear"/>
            <w:vAlign w:val="bottom"/>
          </w:tcPr>
          <w:p>
            <w:pPr>
              <w:pStyle w:val="TableContents"/>
              <w:bidi w:val="0"/>
              <w:spacing w:before="0" w:after="283"/>
              <w:jc w:val="left"/>
              <w:rPr/>
            </w:pPr>
            <w:r>
              <w:rPr/>
              <w:t> </w:t>
            </w:r>
          </w:p>
        </w:tc>
      </w:tr>
      <w:tr>
        <w:trPr/>
        <w:tc>
          <w:tcPr>
            <w:tcW w:w="5028" w:type="dxa"/>
            <w:tcBorders/>
            <w:vAlign w:val="bottom"/>
          </w:tcPr>
          <w:p>
            <w:pPr>
              <w:pStyle w:val="TableContents"/>
              <w:bidi w:val="0"/>
              <w:spacing w:before="0" w:after="283"/>
              <w:jc w:val="left"/>
              <w:rPr>
                <w:sz w:val="4"/>
                <w:szCs w:val="4"/>
              </w:rPr>
            </w:pPr>
            <w:r>
              <w:rPr>
                <w:sz w:val="4"/>
                <w:szCs w:val="4"/>
              </w:rPr>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Income from operations before income taxes, based on jurisdiction earned, was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75"/>
        <w:gridCol w:w="325"/>
        <w:gridCol w:w="140"/>
        <w:gridCol w:w="825"/>
        <w:gridCol w:w="60"/>
        <w:gridCol w:w="325"/>
        <w:gridCol w:w="140"/>
        <w:gridCol w:w="695"/>
        <w:gridCol w:w="60"/>
        <w:gridCol w:w="325"/>
        <w:gridCol w:w="140"/>
        <w:gridCol w:w="695"/>
        <w:gridCol w:w="67"/>
      </w:tblGrid>
      <w:tr>
        <w:trPr/>
        <w:tc>
          <w:tcPr>
            <w:tcW w:w="477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7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340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w:t>
            </w:r>
          </w:p>
        </w:tc>
        <w:tc>
          <w:tcPr>
            <w:tcW w:w="67"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4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76,876</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65,022</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73,563</w:t>
            </w:r>
          </w:p>
        </w:tc>
        <w:tc>
          <w:tcPr>
            <w:tcW w:w="67" w:type="dxa"/>
            <w:tcBorders/>
            <w:shd w:fill="CCEEFF" w:val="clear"/>
            <w:vAlign w:val="bottom"/>
          </w:tcPr>
          <w:p>
            <w:pPr>
              <w:pStyle w:val="TableContents"/>
              <w:bidi w:val="0"/>
              <w:spacing w:before="0" w:after="283"/>
              <w:jc w:val="left"/>
              <w:rPr/>
            </w:pPr>
            <w:r>
              <w:rPr/>
              <w:t> </w:t>
            </w:r>
          </w:p>
        </w:tc>
      </w:tr>
      <w:tr>
        <w:trPr/>
        <w:tc>
          <w:tcPr>
            <w:tcW w:w="4775" w:type="dxa"/>
            <w:tcBorders/>
          </w:tcPr>
          <w:p>
            <w:pPr>
              <w:pStyle w:val="TableContents"/>
              <w:bidi w:val="0"/>
              <w:spacing w:before="0" w:after="0"/>
              <w:jc w:val="left"/>
              <w:rPr>
                <w:rFonts w:ascii="Times New Roman" w:hAnsi="Times New Roman"/>
                <w:sz w:val="20"/>
              </w:rPr>
            </w:pPr>
            <w:r>
              <w:rPr>
                <w:rFonts w:ascii="Times New Roman" w:hAnsi="Times New Roman"/>
                <w:sz w:val="20"/>
              </w:rPr>
              <w:t>Foreign</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5" w:type="dxa"/>
            <w:tcBorders/>
            <w:vAlign w:val="bottom"/>
          </w:tcPr>
          <w:p>
            <w:pPr>
              <w:pStyle w:val="TableContents"/>
              <w:bidi w:val="0"/>
              <w:spacing w:before="0" w:after="283"/>
              <w:jc w:val="right"/>
              <w:rPr/>
            </w:pPr>
            <w:r>
              <w:rPr/>
              <w:t>28,608</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26,011</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14,373</w:t>
            </w:r>
          </w:p>
        </w:tc>
        <w:tc>
          <w:tcPr>
            <w:tcW w:w="67" w:type="dxa"/>
            <w:tcBorders/>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income from operations before income taxes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5" w:type="dxa"/>
            <w:tcBorders/>
            <w:shd w:fill="CCEEFF" w:val="clear"/>
            <w:vAlign w:val="bottom"/>
          </w:tcPr>
          <w:p>
            <w:pPr>
              <w:pStyle w:val="TableContents"/>
              <w:bidi w:val="0"/>
              <w:spacing w:before="0" w:after="283"/>
              <w:jc w:val="right"/>
              <w:rPr/>
            </w:pPr>
            <w:r>
              <w:rPr/>
              <w:t>105,484</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91,033</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87,936</w:t>
            </w:r>
          </w:p>
        </w:tc>
        <w:tc>
          <w:tcPr>
            <w:tcW w:w="67" w:type="dxa"/>
            <w:tcBorders/>
            <w:shd w:fill="CCEEFF" w:val="clear"/>
            <w:vAlign w:val="bottom"/>
          </w:tcPr>
          <w:p>
            <w:pPr>
              <w:pStyle w:val="TableContents"/>
              <w:bidi w:val="0"/>
              <w:spacing w:before="0" w:after="283"/>
              <w:jc w:val="left"/>
              <w:rPr/>
            </w:pPr>
            <w:r>
              <w:rPr/>
              <w:t> </w:t>
            </w:r>
          </w:p>
        </w:tc>
      </w:tr>
      <w:tr>
        <w:trPr/>
        <w:tc>
          <w:tcPr>
            <w:tcW w:w="4775"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the Company had net operating loss carryforwards,or NOLs, which can only be utilized if the Company generates taxable income in the respective tax jurisdiction prior to their expiration. The following table represents the Company’s NOLs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809"/>
        <w:gridCol w:w="444"/>
        <w:gridCol w:w="291"/>
        <w:gridCol w:w="1767"/>
        <w:gridCol w:w="60"/>
        <w:gridCol w:w="444"/>
        <w:gridCol w:w="95"/>
        <w:gridCol w:w="1781"/>
        <w:gridCol w:w="64"/>
      </w:tblGrid>
      <w:tr>
        <w:trPr/>
        <w:tc>
          <w:tcPr>
            <w:tcW w:w="2809"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2809" w:type="dxa"/>
            <w:tcBorders/>
            <w:vAlign w:val="bottom"/>
          </w:tcPr>
          <w:p>
            <w:pPr>
              <w:pStyle w:val="TableContents"/>
              <w:bidi w:val="0"/>
              <w:spacing w:before="0" w:after="283"/>
              <w:jc w:val="left"/>
              <w:rPr>
                <w:b/>
              </w:rPr>
            </w:pPr>
            <w:r>
              <w:rPr>
                <w:b/>
              </w:rPr>
              <w:t>Jurisdiction</w:t>
            </w:r>
          </w:p>
        </w:tc>
        <w:tc>
          <w:tcPr>
            <w:tcW w:w="444" w:type="dxa"/>
            <w:tcBorders/>
            <w:vAlign w:val="bottom"/>
          </w:tcPr>
          <w:p>
            <w:pPr>
              <w:pStyle w:val="TableContents"/>
              <w:bidi w:val="0"/>
              <w:spacing w:before="0" w:after="283"/>
              <w:jc w:val="left"/>
              <w:rPr/>
            </w:pPr>
            <w:r>
              <w:rPr/>
              <w:t>  </w:t>
            </w:r>
          </w:p>
        </w:tc>
        <w:tc>
          <w:tcPr>
            <w:tcW w:w="2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Expiration Years</w:t>
            </w:r>
          </w:p>
        </w:tc>
        <w:tc>
          <w:tcPr>
            <w:tcW w:w="64" w:type="dxa"/>
            <w:tcBorders/>
            <w:vAlign w:val="bottom"/>
          </w:tcPr>
          <w:p>
            <w:pPr>
              <w:pStyle w:val="TableContents"/>
              <w:bidi w:val="0"/>
              <w:spacing w:before="0" w:after="283"/>
              <w:jc w:val="left"/>
              <w:rPr/>
            </w:pPr>
            <w:r>
              <w:rPr/>
              <w:t> </w:t>
            </w:r>
          </w:p>
        </w:tc>
      </w:tr>
      <w:tr>
        <w:trPr/>
        <w:tc>
          <w:tcPr>
            <w:tcW w:w="2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States—federal</w:t>
            </w:r>
          </w:p>
        </w:tc>
        <w:tc>
          <w:tcPr>
            <w:tcW w:w="4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1767" w:type="dxa"/>
            <w:tcBorders/>
            <w:shd w:fill="CCEEFF" w:val="clear"/>
            <w:vAlign w:val="bottom"/>
          </w:tcPr>
          <w:p>
            <w:pPr>
              <w:pStyle w:val="TableContents"/>
              <w:bidi w:val="0"/>
              <w:spacing w:before="0" w:after="283"/>
              <w:jc w:val="right"/>
              <w:rPr/>
            </w:pPr>
            <w:r>
              <w:rPr/>
              <w:t>280,763</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81" w:type="dxa"/>
            <w:tcBorders/>
            <w:shd w:fill="CCEEFF" w:val="clear"/>
            <w:vAlign w:val="bottom"/>
          </w:tcPr>
          <w:p>
            <w:pPr>
              <w:pStyle w:val="TableContents"/>
              <w:bidi w:val="0"/>
              <w:spacing w:before="0" w:after="283"/>
              <w:jc w:val="right"/>
              <w:rPr/>
            </w:pPr>
            <w:r>
              <w:rPr/>
              <w:t>None</w:t>
            </w:r>
          </w:p>
        </w:tc>
        <w:tc>
          <w:tcPr>
            <w:tcW w:w="64" w:type="dxa"/>
            <w:tcBorders/>
            <w:shd w:fill="CCEEFF" w:val="clear"/>
            <w:vAlign w:val="bottom"/>
          </w:tcPr>
          <w:p>
            <w:pPr>
              <w:pStyle w:val="TableContents"/>
              <w:bidi w:val="0"/>
              <w:spacing w:before="0" w:after="283"/>
              <w:jc w:val="left"/>
              <w:rPr/>
            </w:pPr>
            <w:r>
              <w:rPr/>
              <w:t> </w:t>
            </w:r>
          </w:p>
        </w:tc>
      </w:tr>
      <w:tr>
        <w:trPr/>
        <w:tc>
          <w:tcPr>
            <w:tcW w:w="2809" w:type="dxa"/>
            <w:tcBorders/>
          </w:tcPr>
          <w:p>
            <w:pPr>
              <w:pStyle w:val="TableContents"/>
              <w:bidi w:val="0"/>
              <w:spacing w:before="0" w:after="0"/>
              <w:jc w:val="left"/>
              <w:rPr>
                <w:rFonts w:ascii="Times New Roman" w:hAnsi="Times New Roman"/>
                <w:sz w:val="20"/>
              </w:rPr>
            </w:pPr>
            <w:r>
              <w:rPr>
                <w:rFonts w:ascii="Times New Roman" w:hAnsi="Times New Roman"/>
                <w:sz w:val="20"/>
              </w:rPr>
              <w:t>U.S. states</w:t>
            </w:r>
          </w:p>
        </w:tc>
        <w:tc>
          <w:tcPr>
            <w:tcW w:w="44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76,253</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81" w:type="dxa"/>
            <w:tcBorders/>
            <w:vAlign w:val="bottom"/>
          </w:tcPr>
          <w:p>
            <w:pPr>
              <w:pStyle w:val="TableContents"/>
              <w:bidi w:val="0"/>
              <w:spacing w:before="0" w:after="283"/>
              <w:jc w:val="right"/>
              <w:rPr/>
            </w:pPr>
            <w:r>
              <w:rPr/>
              <w:t>None</w:t>
            </w:r>
          </w:p>
        </w:tc>
        <w:tc>
          <w:tcPr>
            <w:tcW w:w="64" w:type="dxa"/>
            <w:tcBorders/>
            <w:vAlign w:val="bottom"/>
          </w:tcPr>
          <w:p>
            <w:pPr>
              <w:pStyle w:val="TableContents"/>
              <w:bidi w:val="0"/>
              <w:spacing w:before="0" w:after="283"/>
              <w:jc w:val="left"/>
              <w:rPr/>
            </w:pPr>
            <w:r>
              <w:rPr/>
              <w:t> </w:t>
            </w:r>
          </w:p>
        </w:tc>
      </w:tr>
      <w:tr>
        <w:trPr/>
        <w:tc>
          <w:tcPr>
            <w:tcW w:w="2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Mexico</w:t>
            </w:r>
          </w:p>
        </w:tc>
        <w:tc>
          <w:tcPr>
            <w:tcW w:w="4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65,684</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81" w:type="dxa"/>
            <w:tcBorders/>
            <w:shd w:fill="CCEEFF" w:val="clear"/>
            <w:vAlign w:val="bottom"/>
          </w:tcPr>
          <w:p>
            <w:pPr>
              <w:pStyle w:val="TableContents"/>
              <w:bidi w:val="0"/>
              <w:spacing w:before="0" w:after="283"/>
              <w:jc w:val="right"/>
              <w:rPr/>
            </w:pPr>
            <w:r>
              <w:rPr/>
              <w:t>2027-2034</w:t>
            </w:r>
          </w:p>
        </w:tc>
        <w:tc>
          <w:tcPr>
            <w:tcW w:w="64" w:type="dxa"/>
            <w:tcBorders/>
            <w:shd w:fill="CCEEFF" w:val="clear"/>
            <w:vAlign w:val="bottom"/>
          </w:tcPr>
          <w:p>
            <w:pPr>
              <w:pStyle w:val="TableContents"/>
              <w:bidi w:val="0"/>
              <w:spacing w:before="0" w:after="283"/>
              <w:jc w:val="left"/>
              <w:rPr/>
            </w:pPr>
            <w:r>
              <w:rPr/>
              <w:t> </w:t>
            </w:r>
          </w:p>
        </w:tc>
      </w:tr>
      <w:tr>
        <w:trPr/>
        <w:tc>
          <w:tcPr>
            <w:tcW w:w="2809" w:type="dxa"/>
            <w:tcBorders/>
          </w:tcPr>
          <w:p>
            <w:pPr>
              <w:pStyle w:val="TableContents"/>
              <w:bidi w:val="0"/>
              <w:spacing w:before="0" w:after="0"/>
              <w:jc w:val="left"/>
              <w:rPr>
                <w:rFonts w:ascii="Times New Roman" w:hAnsi="Times New Roman"/>
                <w:sz w:val="20"/>
              </w:rPr>
            </w:pPr>
            <w:r>
              <w:rPr>
                <w:rFonts w:ascii="Times New Roman" w:hAnsi="Times New Roman"/>
                <w:sz w:val="20"/>
              </w:rPr>
              <w:t>Brazil (1)</w:t>
            </w:r>
          </w:p>
        </w:tc>
        <w:tc>
          <w:tcPr>
            <w:tcW w:w="444"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767" w:type="dxa"/>
            <w:tcBorders/>
            <w:vAlign w:val="bottom"/>
          </w:tcPr>
          <w:p>
            <w:pPr>
              <w:pStyle w:val="TableContents"/>
              <w:bidi w:val="0"/>
              <w:spacing w:before="0" w:after="283"/>
              <w:jc w:val="right"/>
              <w:rPr/>
            </w:pPr>
            <w:r>
              <w:rPr/>
              <w:t>15,100</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781" w:type="dxa"/>
            <w:tcBorders/>
            <w:vAlign w:val="bottom"/>
          </w:tcPr>
          <w:p>
            <w:pPr>
              <w:pStyle w:val="TableContents"/>
              <w:bidi w:val="0"/>
              <w:spacing w:before="0" w:after="283"/>
              <w:jc w:val="right"/>
              <w:rPr/>
            </w:pPr>
            <w:r>
              <w:rPr/>
              <w:t>None</w:t>
            </w:r>
          </w:p>
        </w:tc>
        <w:tc>
          <w:tcPr>
            <w:tcW w:w="64" w:type="dxa"/>
            <w:tcBorders/>
            <w:vAlign w:val="bottom"/>
          </w:tcPr>
          <w:p>
            <w:pPr>
              <w:pStyle w:val="TableContents"/>
              <w:bidi w:val="0"/>
              <w:spacing w:before="0" w:after="283"/>
              <w:jc w:val="left"/>
              <w:rPr/>
            </w:pPr>
            <w:r>
              <w:rPr/>
              <w:t> </w:t>
            </w:r>
          </w:p>
        </w:tc>
      </w:tr>
      <w:tr>
        <w:trPr/>
        <w:tc>
          <w:tcPr>
            <w:tcW w:w="28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Trinidad</w:t>
            </w:r>
          </w:p>
        </w:tc>
        <w:tc>
          <w:tcPr>
            <w:tcW w:w="444"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767" w:type="dxa"/>
            <w:tcBorders/>
            <w:shd w:fill="CCEEFF" w:val="clear"/>
            <w:vAlign w:val="bottom"/>
          </w:tcPr>
          <w:p>
            <w:pPr>
              <w:pStyle w:val="TableContents"/>
              <w:bidi w:val="0"/>
              <w:spacing w:before="0" w:after="283"/>
              <w:jc w:val="right"/>
              <w:rPr/>
            </w:pPr>
            <w:r>
              <w:rPr/>
              <w:t>30,924</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781" w:type="dxa"/>
            <w:tcBorders/>
            <w:shd w:fill="CCEEFF" w:val="clear"/>
            <w:vAlign w:val="bottom"/>
          </w:tcPr>
          <w:p>
            <w:pPr>
              <w:pStyle w:val="TableContents"/>
              <w:bidi w:val="0"/>
              <w:spacing w:before="0" w:after="283"/>
              <w:jc w:val="right"/>
              <w:rPr/>
            </w:pPr>
            <w:r>
              <w:rPr/>
              <w:t>None</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NOLs in Brazil can only be used to offset up to 30% of taxable income each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also has foreign tax credit carryforwards of approximately $32.0 million, which if not utilized will expire in 2027 through 2034. </w:t>
      </w:r>
    </w:p>
    <w:p>
      <w:pPr>
        <w:pStyle w:val="TextBody"/>
        <w:bidi w:val="0"/>
        <w:spacing w:before="240" w:after="0"/>
        <w:jc w:val="left"/>
        <w:rPr>
          <w:rFonts w:ascii="Times New Roman" w:hAnsi="Times New Roman"/>
          <w:sz w:val="20"/>
        </w:rPr>
      </w:pPr>
      <w:r>
        <w:rPr>
          <w:rFonts w:ascii="Times New Roman" w:hAnsi="Times New Roman"/>
          <w:sz w:val="20"/>
        </w:rPr>
        <w:t xml:space="preserve">IRC Sections 382 and 383 provide an annual limitation with respect to the ability of a corporation to utilize its tax attributes against future U.S. taxable income in the event of a change in ownership of more than 50%. The Company had a change in ownership during 2020 for purposes of IRC Sections 382 and 383, causing an annual limitation to apply to $56.8 million of U.S. federal NOLs. These federal NOLs, as well as other tax attributes, such as U.S. state NOLs or foreign tax credit carryforwards, could expire if unused due to the applicable annual limitations. </w:t>
      </w:r>
    </w:p>
    <w:p>
      <w:pPr>
        <w:pStyle w:val="TextBody"/>
        <w:bidi w:val="0"/>
        <w:spacing w:before="240" w:after="0"/>
        <w:jc w:val="left"/>
        <w:rPr>
          <w:rFonts w:ascii="Times New Roman" w:hAnsi="Times New Roman"/>
          <w:sz w:val="20"/>
        </w:rPr>
      </w:pPr>
      <w:r>
        <w:rPr>
          <w:rFonts w:ascii="Times New Roman" w:hAnsi="Times New Roman"/>
          <w:sz w:val="20"/>
        </w:rPr>
        <w:t xml:space="preserve">In recording a valuation allowance with respect to such NOLs and foreign tax credits, the Company assessed the favorable and unfavorable evidence to estimate whether sufficient future taxable income will be generated to permit use of the existing deferred tax assets. A significant piece of the unfavorable evidence evaluated during the fourth quarter of 2022 was the cumulative pre-tax loss that was incurred over the three-year period ended December 31, 2022. Such objective evidence limits the ability to consider other subjective evidence, such as the Company’s projections of future earnings. As of December 31, 2024, the Company is no longer in a three-year cumulative pre-tax loss position. However, the Company has concluded that it is proper to provide valuation allowances against most of its deferred tax assets, as significant unfavorable evidence currently outweighs positive evidence. Positive evidence of an improving market and increasing dayrates currently does not outweigh unfavorable evidence such as the Section 382 and 383 limitations on tax attributes, possible tax legislation allowing for accelerated tax deductions and potential incremental tax losses, entering new markets with increased operational risks, and the inherent volatility and unpredictability of taxable income forecasts associated with the oil and gas industry and, more recently, the offshore wind industry. As of December 31, 2024 and 2023, the Company had valuation allowances of $220.6 million and $264.6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 longer subject to tax audits being initiated by U.S. federal, state, local or foreign taxing authorities for years prior to 2020. The Company has ongoing examinations by various foreign tax authorities for earlier periods, but does not believe that the results of those examinations will have a material adverse effect on the Company’s financial position or results of operations. Please see Note 17 for further discussion regarding the relevant ongoing foreign tax examinations.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reconciles the difference between the Company’s income tax provision calculated at the federal statutory rate of 21% and the actual income tax provision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93"/>
        <w:gridCol w:w="344"/>
        <w:gridCol w:w="140"/>
        <w:gridCol w:w="784"/>
        <w:gridCol w:w="159"/>
        <w:gridCol w:w="344"/>
        <w:gridCol w:w="140"/>
        <w:gridCol w:w="680"/>
        <w:gridCol w:w="159"/>
        <w:gridCol w:w="344"/>
        <w:gridCol w:w="140"/>
        <w:gridCol w:w="784"/>
        <w:gridCol w:w="161"/>
      </w:tblGrid>
      <w:tr>
        <w:trPr/>
        <w:tc>
          <w:tcPr>
            <w:tcW w:w="4393"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93"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6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For The Year Ended December 31,</w:t>
            </w:r>
          </w:p>
        </w:tc>
        <w:tc>
          <w:tcPr>
            <w:tcW w:w="161" w:type="dxa"/>
            <w:tcBorders/>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9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 federal statutory rate</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22,152</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19,117</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18,466</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U.S. state taxes, net</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1,793</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1,548</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1,495</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Non-deductible expense</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1,270</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744</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170</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(1,443</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(85</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adjustment of liability-classified warrants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(1,228</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2,478</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9,400</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(18,625</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(5,852</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(23,357</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Remeasurement of deferred taxes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1,525</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(757</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Return to accrual</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3,306</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(464</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256</w:t>
            </w:r>
          </w:p>
        </w:tc>
        <w:tc>
          <w:tcPr>
            <w:tcW w:w="161"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Uncertain tax positions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(189</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571</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tcPr>
          <w:p>
            <w:pPr>
              <w:pStyle w:val="TableContents"/>
              <w:bidi w:val="0"/>
              <w:spacing w:before="0" w:after="0"/>
              <w:jc w:val="left"/>
              <w:rPr>
                <w:rFonts w:ascii="Times New Roman" w:hAnsi="Times New Roman"/>
                <w:sz w:val="20"/>
              </w:rPr>
            </w:pPr>
            <w:r>
              <w:rPr>
                <w:rFonts w:ascii="Times New Roman" w:hAnsi="Times New Roman"/>
                <w:sz w:val="20"/>
              </w:rPr>
              <w:t>Foreign taxes and other</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3,932</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(802</w:t>
            </w:r>
          </w:p>
        </w:tc>
        <w:tc>
          <w:tcPr>
            <w:tcW w:w="15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930</w:t>
            </w:r>
          </w:p>
        </w:tc>
        <w:tc>
          <w:tcPr>
            <w:tcW w:w="161" w:type="dxa"/>
            <w:tcBorders/>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12,682</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16,495</w:t>
            </w:r>
          </w:p>
        </w:tc>
        <w:tc>
          <w:tcPr>
            <w:tcW w:w="159"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4" w:type="dxa"/>
            <w:tcBorders/>
            <w:shd w:fill="CCEEFF" w:val="clear"/>
            <w:vAlign w:val="bottom"/>
          </w:tcPr>
          <w:p>
            <w:pPr>
              <w:pStyle w:val="TableContents"/>
              <w:bidi w:val="0"/>
              <w:spacing w:before="0" w:after="283"/>
              <w:jc w:val="right"/>
              <w:rPr/>
            </w:pPr>
            <w:r>
              <w:rPr/>
              <w:t>7,174</w:t>
            </w:r>
          </w:p>
        </w:tc>
        <w:tc>
          <w:tcPr>
            <w:tcW w:w="161" w:type="dxa"/>
            <w:tcBorders/>
            <w:shd w:fill="CCEEFF" w:val="clear"/>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records U.S. federal and state deferred taxes using a blended statutory tax rate of 22.7%. During 2022 and 2024, the Company revalued its Louisiana net operating losses to reflect new tax rates effective for 2022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beginning and ending amount of all unrecognized tax benefits and the liability for uncertain tax positions, excluding related penalties and interest(1), are as follows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27"/>
        <w:gridCol w:w="415"/>
        <w:gridCol w:w="147"/>
        <w:gridCol w:w="590"/>
        <w:gridCol w:w="160"/>
      </w:tblGrid>
      <w:tr>
        <w:trPr/>
        <w:tc>
          <w:tcPr>
            <w:tcW w:w="562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2022</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1,530</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Reductions, net based on tax positions related to a prior year</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(189</w:t>
            </w:r>
          </w:p>
        </w:tc>
        <w:tc>
          <w:tcPr>
            <w:tcW w:w="160" w:type="dxa"/>
            <w:tcBorders/>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2023</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1,341</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7" w:type="dxa"/>
            <w:tcBorders/>
          </w:tcPr>
          <w:p>
            <w:pPr>
              <w:pStyle w:val="TableContents"/>
              <w:bidi w:val="0"/>
              <w:spacing w:before="0" w:after="0"/>
              <w:jc w:val="left"/>
              <w:rPr>
                <w:rFonts w:ascii="Times New Roman" w:hAnsi="Times New Roman"/>
                <w:sz w:val="20"/>
              </w:rPr>
            </w:pPr>
            <w:r>
              <w:rPr>
                <w:rFonts w:ascii="Times New Roman" w:hAnsi="Times New Roman"/>
                <w:sz w:val="20"/>
              </w:rPr>
              <w:t>Additions, net based on tax positions related to a prior year</w:t>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590"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December 31, 2024</w:t>
            </w:r>
          </w:p>
        </w:tc>
        <w:tc>
          <w:tcPr>
            <w:tcW w:w="41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590" w:type="dxa"/>
            <w:tcBorders/>
            <w:shd w:fill="CCEEFF" w:val="clear"/>
            <w:vAlign w:val="bottom"/>
          </w:tcPr>
          <w:p>
            <w:pPr>
              <w:pStyle w:val="TableContents"/>
              <w:bidi w:val="0"/>
              <w:spacing w:before="0" w:after="283"/>
              <w:jc w:val="right"/>
              <w:rPr/>
            </w:pPr>
            <w:r>
              <w:rPr/>
              <w:t>1,341</w:t>
            </w:r>
          </w:p>
        </w:tc>
        <w:tc>
          <w:tcPr>
            <w:tcW w:w="160" w:type="dxa"/>
            <w:tcBorders/>
            <w:shd w:fill="CCEEFF" w:val="clear"/>
            <w:vAlign w:val="bottom"/>
          </w:tcPr>
          <w:p>
            <w:pPr>
              <w:pStyle w:val="TableContents"/>
              <w:bidi w:val="0"/>
              <w:spacing w:before="0" w:after="283"/>
              <w:jc w:val="left"/>
              <w:rPr/>
            </w:pPr>
            <w:r>
              <w:rPr/>
              <w:t> </w:t>
            </w:r>
          </w:p>
        </w:tc>
      </w:tr>
      <w:tr>
        <w:trPr/>
        <w:tc>
          <w:tcPr>
            <w:tcW w:w="562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590"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Penalties and interest of $1.1 million and $0.5 million were recorded in the consolidated statements of operations for uncertain tax positions for the years ended December 31, 2024 and 2023, respectively. As of December 31, 2024 and 2023, the cumulative amount of penalties and interest related to uncertain tax positions reflected in other long-term liabilities on the consolidated balance sheets totaled $2.8 million and $1.7 million, respectively.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16. Leases </w:t>
      </w:r>
    </w:p>
    <w:p>
      <w:pPr>
        <w:pStyle w:val="TextBody"/>
        <w:bidi w:val="0"/>
        <w:spacing w:before="120" w:after="0"/>
        <w:jc w:val="left"/>
        <w:rPr>
          <w:rFonts w:ascii="Times New Roman" w:hAnsi="Times New Roman"/>
          <w:sz w:val="20"/>
        </w:rPr>
      </w:pPr>
      <w:r>
        <w:rPr>
          <w:rFonts w:ascii="Times New Roman" w:hAnsi="Times New Roman"/>
          <w:sz w:val="20"/>
        </w:rPr>
        <w:t xml:space="preserve">Lease expenses for operating leases are recorded in general and administrative and operating expenses. Lease expenses for finance leases are recorded in amortization and interest expense. Total lease expenses incurred for operating and finance leases were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55"/>
        <w:gridCol w:w="328"/>
        <w:gridCol w:w="140"/>
        <w:gridCol w:w="565"/>
        <w:gridCol w:w="60"/>
        <w:gridCol w:w="328"/>
        <w:gridCol w:w="140"/>
        <w:gridCol w:w="695"/>
        <w:gridCol w:w="60"/>
        <w:gridCol w:w="328"/>
        <w:gridCol w:w="140"/>
        <w:gridCol w:w="565"/>
        <w:gridCol w:w="68"/>
      </w:tblGrid>
      <w:tr>
        <w:trPr/>
        <w:tc>
          <w:tcPr>
            <w:tcW w:w="5155"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02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8" w:type="dxa"/>
            <w:tcBorders/>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right-of-use assets</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489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372</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274</w:t>
            </w:r>
          </w:p>
        </w:tc>
        <w:tc>
          <w:tcPr>
            <w:tcW w:w="68"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62</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32</w:t>
            </w:r>
          </w:p>
        </w:tc>
        <w:tc>
          <w:tcPr>
            <w:tcW w:w="68" w:type="dxa"/>
            <w:tcBorders/>
            <w:shd w:fill="CCEEFF" w:val="clear"/>
            <w:vAlign w:val="bottom"/>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7,184</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7,241</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3,591</w:t>
            </w:r>
          </w:p>
        </w:tc>
        <w:tc>
          <w:tcPr>
            <w:tcW w:w="68" w:type="dxa"/>
            <w:tcBorders/>
            <w:vAlign w:val="bottom"/>
          </w:tcPr>
          <w:p>
            <w:pPr>
              <w:pStyle w:val="TableContents"/>
              <w:bidi w:val="0"/>
              <w:spacing w:before="0" w:after="283"/>
              <w:jc w:val="left"/>
              <w:rPr/>
            </w:pPr>
            <w:r>
              <w:rPr/>
              <w:t> </w:t>
            </w:r>
          </w:p>
        </w:tc>
      </w:tr>
      <w:tr>
        <w:trPr/>
        <w:tc>
          <w:tcPr>
            <w:tcW w:w="51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expense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784</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2,869</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843</w:t>
            </w:r>
          </w:p>
        </w:tc>
        <w:tc>
          <w:tcPr>
            <w:tcW w:w="68" w:type="dxa"/>
            <w:tcBorders/>
            <w:shd w:fill="CCEEFF" w:val="clear"/>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155" w:type="dxa"/>
            <w:tcBorders/>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8,519</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10,527</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5" w:type="dxa"/>
            <w:tcBorders/>
            <w:vAlign w:val="bottom"/>
          </w:tcPr>
          <w:p>
            <w:pPr>
              <w:pStyle w:val="TableContents"/>
              <w:bidi w:val="0"/>
              <w:spacing w:before="0" w:after="283"/>
              <w:jc w:val="right"/>
              <w:rPr/>
            </w:pPr>
            <w:r>
              <w:rPr/>
              <w:t>4,740</w:t>
            </w:r>
          </w:p>
        </w:tc>
        <w:tc>
          <w:tcPr>
            <w:tcW w:w="68" w:type="dxa"/>
            <w:tcBorders/>
            <w:vAlign w:val="bottom"/>
          </w:tcPr>
          <w:p>
            <w:pPr>
              <w:pStyle w:val="TableContents"/>
              <w:bidi w:val="0"/>
              <w:spacing w:before="0" w:after="283"/>
              <w:jc w:val="left"/>
              <w:rPr/>
            </w:pPr>
            <w:r>
              <w:rPr/>
              <w:t> </w:t>
            </w:r>
          </w:p>
        </w:tc>
      </w:tr>
      <w:tr>
        <w:trPr/>
        <w:tc>
          <w:tcPr>
            <w:tcW w:w="51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Cash paid for amounts included in the measurement of lease liabilities was as follows (in thousands):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698"/>
        <w:gridCol w:w="275"/>
        <w:gridCol w:w="60"/>
        <w:gridCol w:w="562"/>
        <w:gridCol w:w="60"/>
        <w:gridCol w:w="275"/>
        <w:gridCol w:w="60"/>
        <w:gridCol w:w="562"/>
        <w:gridCol w:w="60"/>
        <w:gridCol w:w="275"/>
        <w:gridCol w:w="60"/>
        <w:gridCol w:w="562"/>
        <w:gridCol w:w="63"/>
      </w:tblGrid>
      <w:tr>
        <w:trPr/>
        <w:tc>
          <w:tcPr>
            <w:tcW w:w="5698"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69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53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5698"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3" w:type="dxa"/>
            <w:tcBorders/>
            <w:vAlign w:val="bottom"/>
          </w:tcPr>
          <w:p>
            <w:pPr>
              <w:pStyle w:val="TableContents"/>
              <w:bidi w:val="0"/>
              <w:spacing w:before="0" w:after="283"/>
              <w:jc w:val="left"/>
              <w:rPr/>
            </w:pPr>
            <w:r>
              <w:rPr/>
              <w:t> </w:t>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 flows for operating leases</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6,650</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7,012</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3,042</w:t>
            </w:r>
          </w:p>
        </w:tc>
        <w:tc>
          <w:tcPr>
            <w:tcW w:w="63" w:type="dxa"/>
            <w:tcBorders/>
            <w:shd w:fill="CCEEFF" w:val="clear"/>
            <w:vAlign w:val="bottom"/>
          </w:tcPr>
          <w:p>
            <w:pPr>
              <w:pStyle w:val="TableContents"/>
              <w:bidi w:val="0"/>
              <w:spacing w:before="0" w:after="283"/>
              <w:jc w:val="left"/>
              <w:rPr/>
            </w:pPr>
            <w:r>
              <w:rPr/>
              <w:t> </w:t>
            </w:r>
          </w:p>
        </w:tc>
      </w:tr>
      <w:tr>
        <w:trPr/>
        <w:tc>
          <w:tcPr>
            <w:tcW w:w="56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flows for financing leases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45</w:t>
            </w:r>
          </w:p>
        </w:tc>
        <w:tc>
          <w:tcPr>
            <w:tcW w:w="60" w:type="dxa"/>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56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flows for financing leases</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396</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287</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200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Annual maturities of operating and finance lease liabilities under non-cancelable leases with terms in excess of one year, during each year ending December 31, are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81"/>
        <w:gridCol w:w="447"/>
        <w:gridCol w:w="180"/>
        <w:gridCol w:w="894"/>
        <w:gridCol w:w="283"/>
        <w:gridCol w:w="351"/>
        <w:gridCol w:w="166"/>
        <w:gridCol w:w="666"/>
        <w:gridCol w:w="287"/>
      </w:tblGrid>
      <w:tr>
        <w:trPr/>
        <w:tc>
          <w:tcPr>
            <w:tcW w:w="4481" w:type="dxa"/>
            <w:tcBorders/>
            <w:vAlign w:val="center"/>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481"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8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r>
          </w:p>
        </w:tc>
        <w:tc>
          <w:tcPr>
            <w:tcW w:w="287"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5,223</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474</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3,622</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363</w:t>
            </w:r>
          </w:p>
        </w:tc>
        <w:tc>
          <w:tcPr>
            <w:tcW w:w="287"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3,386</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264</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3,296</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67</w:t>
            </w:r>
          </w:p>
        </w:tc>
        <w:tc>
          <w:tcPr>
            <w:tcW w:w="287"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3,534</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— </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13,924</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— </w:t>
            </w:r>
          </w:p>
        </w:tc>
        <w:tc>
          <w:tcPr>
            <w:tcW w:w="287" w:type="dxa"/>
            <w:tcBorders/>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32,985</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1,168</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9,087</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122</w:t>
            </w:r>
          </w:p>
        </w:tc>
        <w:tc>
          <w:tcPr>
            <w:tcW w:w="287" w:type="dxa"/>
            <w:tcBorders/>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894"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666" w:type="dxa"/>
            <w:tcBorders/>
            <w:vAlign w:val="bottom"/>
          </w:tcPr>
          <w:p>
            <w:pPr>
              <w:pStyle w:val="TableContents"/>
              <w:pBdr>
                <w:top w:val="single" w:sz="2"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liabilities</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23,898</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666" w:type="dxa"/>
            <w:tcBorders/>
            <w:shd w:fill="CCEEFF" w:val="clear"/>
            <w:vAlign w:val="bottom"/>
          </w:tcPr>
          <w:p>
            <w:pPr>
              <w:pStyle w:val="TableContents"/>
              <w:bidi w:val="0"/>
              <w:spacing w:before="0" w:after="283"/>
              <w:jc w:val="right"/>
              <w:rPr/>
            </w:pPr>
            <w:r>
              <w:rPr/>
              <w:t>1,046</w:t>
            </w:r>
          </w:p>
        </w:tc>
        <w:tc>
          <w:tcPr>
            <w:tcW w:w="287" w:type="dxa"/>
            <w:tcBorders/>
            <w:shd w:fill="CCEEFF" w:val="clear"/>
            <w:vAlign w:val="bottom"/>
          </w:tcPr>
          <w:p>
            <w:pPr>
              <w:pStyle w:val="TableContents"/>
              <w:bidi w:val="0"/>
              <w:spacing w:before="0" w:after="283"/>
              <w:jc w:val="left"/>
              <w:rPr/>
            </w:pPr>
            <w:r>
              <w:rPr/>
              <w:t> </w:t>
            </w:r>
          </w:p>
        </w:tc>
      </w:tr>
      <w:tr>
        <w:trPr/>
        <w:tc>
          <w:tcPr>
            <w:tcW w:w="4481"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double" w:sz="6" w:space="1" w:color="000000"/>
              </w:pBdr>
              <w:bidi w:val="0"/>
              <w:spacing w:before="0" w:after="0"/>
              <w:jc w:val="left"/>
              <w:rPr/>
            </w:pPr>
            <w:r>
              <w:rPr/>
              <w:t> </w:t>
            </w:r>
          </w:p>
        </w:tc>
        <w:tc>
          <w:tcPr>
            <w:tcW w:w="894"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666" w:type="dxa"/>
            <w:tcBorders/>
            <w:vAlign w:val="bottom"/>
          </w:tcPr>
          <w:p>
            <w:pPr>
              <w:pStyle w:val="TableContents"/>
              <w:pBdr>
                <w:top w:val="double" w:sz="6" w:space="1" w:color="000000"/>
              </w:pBdr>
              <w:bidi w:val="0"/>
              <w:spacing w:before="0" w:after="0"/>
              <w:jc w:val="left"/>
              <w:rPr/>
            </w:pPr>
            <w:r>
              <w:rPr/>
              <w:t> </w:t>
            </w:r>
          </w:p>
        </w:tc>
        <w:tc>
          <w:tcPr>
            <w:tcW w:w="287" w:type="dxa"/>
            <w:tcBorders/>
            <w:vAlign w:val="center"/>
          </w:tcPr>
          <w:p>
            <w:pPr>
              <w:pStyle w:val="TableContents"/>
              <w:bidi w:val="0"/>
              <w:spacing w:before="0" w:after="283"/>
              <w:jc w:val="left"/>
              <w:rPr/>
            </w:pPr>
            <w:r>
              <w:rPr/>
              <w:t> </w:t>
            </w:r>
          </w:p>
        </w:tc>
      </w:tr>
      <w:tr>
        <w:trPr/>
        <w:tc>
          <w:tcPr>
            <w:tcW w:w="4481"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 ( in years)</w:t>
            </w:r>
          </w:p>
        </w:tc>
        <w:tc>
          <w:tcPr>
            <w:tcW w:w="447"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7.83</w:t>
            </w:r>
          </w:p>
        </w:tc>
        <w:tc>
          <w:tcPr>
            <w:tcW w:w="283"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66" w:type="dxa"/>
            <w:tcBorders/>
            <w:vAlign w:val="bottom"/>
          </w:tcPr>
          <w:p>
            <w:pPr>
              <w:pStyle w:val="TableContents"/>
              <w:bidi w:val="0"/>
              <w:spacing w:before="0" w:after="283"/>
              <w:jc w:val="right"/>
              <w:rPr/>
            </w:pPr>
            <w:r>
              <w:rPr/>
              <w:t>2.69</w:t>
            </w:r>
          </w:p>
        </w:tc>
        <w:tc>
          <w:tcPr>
            <w:tcW w:w="287" w:type="dxa"/>
            <w:tcBorders/>
            <w:vAlign w:val="bottom"/>
          </w:tcPr>
          <w:p>
            <w:pPr>
              <w:pStyle w:val="TableContents"/>
              <w:bidi w:val="0"/>
              <w:spacing w:before="0" w:after="283"/>
              <w:jc w:val="left"/>
              <w:rPr/>
            </w:pPr>
            <w:r>
              <w:rPr/>
              <w:t> </w:t>
            </w:r>
          </w:p>
        </w:tc>
      </w:tr>
      <w:tr>
        <w:trPr/>
        <w:tc>
          <w:tcPr>
            <w:tcW w:w="44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447"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8.1</w:t>
            </w:r>
          </w:p>
        </w:tc>
        <w:tc>
          <w:tcPr>
            <w:tcW w:w="283"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66" w:type="dxa"/>
            <w:tcBorders/>
            <w:shd w:fill="CCEEFF" w:val="clear"/>
            <w:vAlign w:val="bottom"/>
          </w:tcPr>
          <w:p>
            <w:pPr>
              <w:pStyle w:val="TableContents"/>
              <w:bidi w:val="0"/>
              <w:spacing w:before="0" w:after="283"/>
              <w:jc w:val="right"/>
              <w:rPr/>
            </w:pPr>
            <w:r>
              <w:rPr/>
              <w:t>7.6</w:t>
            </w:r>
          </w:p>
        </w:tc>
        <w:tc>
          <w:tcPr>
            <w:tcW w:w="287"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17.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Vessel Construction </w:t>
      </w:r>
    </w:p>
    <w:p>
      <w:pPr>
        <w:pStyle w:val="TextBody"/>
        <w:bidi w:val="0"/>
        <w:spacing w:before="120" w:after="0"/>
        <w:jc w:val="left"/>
        <w:rPr>
          <w:rFonts w:ascii="Times New Roman" w:hAnsi="Times New Roman"/>
          <w:sz w:val="20"/>
        </w:rPr>
      </w:pPr>
      <w:r>
        <w:rPr>
          <w:rFonts w:ascii="Times New Roman" w:hAnsi="Times New Roman"/>
          <w:sz w:val="20"/>
        </w:rPr>
        <w:t xml:space="preserve">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is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costs. As of December 31, 2024, the Company had paid $26.9 million of the $53.8 million amount, excluding liquidated damages, to Eastern related to the completion of these two MPSVs.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settlement, the Surety is contractually required to deliver both MPSVs in 2025. However, the Company has been provided an updated schedule by the Surety and Eastern indicating that they currently expect at least a six-month shipyard delay with the first of the two MPSVs being delivered in late 2025 and the second in the first quarter of 2026. As a result of the delay, the Company is entitled to $11.2 million in liquidated damages. Following physical delivery by Eastern, the Company expects each vessel to undergo crane and other system installations, which will make the first vessel available for commercial service in the first half of 2026, at the earliest, and the second vessel thereafter. In addition to the remaining $15.8 million of the original shipyard contract price, net of liquidated damages, as of December 31, 2024, the Company expects to incur an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$87.1 million in the aggregate for outfitting, overhead and the post-delivery discretionary enhancements, of which $59.6 million solely relates to the purchase and installation of the cranes. As of December 31, 2024, the Company had incurred $7.4 million of such incremental amounts, excluding capitalized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$0.7 million and $0.5 million for potential insurance deductibles or losses associated with such claims as of December 31, 2024 and 2023,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Mexico Tax Audits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audit by various Mexican statutory bodies, including the Mexican tax authorities, or SAT. In recent years, SAT has initiated several audits of the Company’s Mexican subsidiaries for tax years between 2015 and 2021. In November 2018, SAT commenced an audit of a Mexican subsidiary’s 2015 tax return and asserted certain positions that disallowed a significant portion of the Company’s deductible expenses, which resulted in additional taxes, interest and penalties being imposed. As a result, the Company engaged in non-binding mediation proceedings, which concluded in 2021 without resolution. In April 2022, the Company received an official assessment from SAT and initiated an appeal process through the Mexican tax judicial system in June 2022. As of December 31, 2024, the Company had accrued a liability totaling $2.3 million for potential losses from additional taxes, interest and penalties resulting from this assessment based on estimates developed in collaboration with its Mexican tax advisors. The Company believes it has properly applied the applicable tax laws and has reasonably supported its positions. The ultimate impact resulting from the 2015 tax assessment and appeal process and other ongoing tax audits may materially differ from the current estimates. The Company will continue to update its estimates related to these pending proceedings as new information warrants.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Brazil Importation Tax Assessment </w:t>
      </w:r>
    </w:p>
    <w:p>
      <w:pPr>
        <w:pStyle w:val="TextBody"/>
        <w:bidi w:val="0"/>
        <w:spacing w:before="120" w:after="0"/>
        <w:jc w:val="left"/>
        <w:rPr>
          <w:rFonts w:ascii="Times New Roman" w:hAnsi="Times New Roman"/>
          <w:sz w:val="20"/>
        </w:rPr>
      </w:pPr>
      <w:r>
        <w:rPr>
          <w:rFonts w:ascii="Times New Roman" w:hAnsi="Times New Roman"/>
          <w:sz w:val="20"/>
        </w:rPr>
        <w:t xml:space="preserve">In April 2021, the Company received notification from the Brazilian tax authorities of an importation tax assessment against the </w:t>
      </w:r>
      <w:r>
        <w:rPr>
          <w:rFonts w:ascii="Times New Roman" w:hAnsi="Times New Roman"/>
          <w:i/>
          <w:sz w:val="20"/>
        </w:rPr>
        <w:t xml:space="preserve">HOS Achiever </w:t>
      </w:r>
      <w:r>
        <w:rPr>
          <w:rFonts w:ascii="Times New Roman" w:hAnsi="Times New Roman"/>
          <w:sz w:val="20"/>
        </w:rPr>
        <w:t xml:space="preserve">with respect to the vessel’s services contract in Brazil from February 2019 to January 2020. At the time of the </w:t>
      </w:r>
      <w:r>
        <w:rPr>
          <w:rFonts w:ascii="Times New Roman" w:hAnsi="Times New Roman"/>
          <w:i/>
          <w:sz w:val="20"/>
        </w:rPr>
        <w:t xml:space="preserve">HOS Achiever’s </w:t>
      </w:r>
      <w:r>
        <w:rPr>
          <w:rFonts w:ascii="Times New Roman" w:hAnsi="Times New Roman"/>
          <w:sz w:val="20"/>
        </w:rPr>
        <w:t xml:space="preserve">importation, the Company was granted a statutorily available tax exemption based on the vessel’s functional capabilities and intended use under the services contract. The tax authorities are now asserting that the </w:t>
      </w:r>
      <w:r>
        <w:rPr>
          <w:rFonts w:ascii="Times New Roman" w:hAnsi="Times New Roman"/>
          <w:i/>
          <w:sz w:val="20"/>
        </w:rPr>
        <w:t xml:space="preserve">HOS Achiever </w:t>
      </w:r>
      <w:r>
        <w:rPr>
          <w:rFonts w:ascii="Times New Roman" w:hAnsi="Times New Roman"/>
          <w:sz w:val="20"/>
        </w:rPr>
        <w:t xml:space="preserve">does not qualify for the applicable exemption. The Company believes the </w:t>
      </w:r>
      <w:r>
        <w:rPr>
          <w:rFonts w:ascii="Times New Roman" w:hAnsi="Times New Roman"/>
          <w:i/>
          <w:sz w:val="20"/>
        </w:rPr>
        <w:t xml:space="preserve">HOS Achiever </w:t>
      </w:r>
      <w:r>
        <w:rPr>
          <w:rFonts w:ascii="Times New Roman" w:hAnsi="Times New Roman"/>
          <w:sz w:val="20"/>
        </w:rPr>
        <w:t xml:space="preserve">does, in fact, meet the criteria set forth under the applicable law and intends to defend its position in a Brazilian court. While the final outcome of this assessment is uncertain and could possibly result in the payment and loss of an estimated $6.0 million to $10.0 million in related importation taxes and penalties, the Company believes, based in significant part on advice from Brazilian legal counsel, that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18. 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party to employment agreements with certain members of its executive management team. These agreements include, among other things, contractually stated base salaries and a structured cash short-term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2025 and automatically extends each year thereafter on September 4th for an additional year. </w:t>
      </w:r>
    </w:p>
    <w:p>
      <w:pPr>
        <w:pStyle w:val="TextBody"/>
        <w:bidi w:val="0"/>
        <w:spacing w:before="360" w:after="0"/>
        <w:jc w:val="left"/>
        <w:rPr>
          <w:rFonts w:ascii="Times New Roman" w:hAnsi="Times New Roman"/>
          <w:b/>
          <w:sz w:val="20"/>
        </w:rPr>
      </w:pPr>
      <w:r>
        <w:rPr>
          <w:rFonts w:ascii="Times New Roman" w:hAnsi="Times New Roman"/>
          <w:b/>
          <w:sz w:val="20"/>
        </w:rPr>
        <w:t xml:space="preserve">19. Reportable Segment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one reportable segment, which encompasses all aspects of its marine transportation services business. Revenues from customers are derived from the chartering of the Company’s vessels, providing vessel management services to external vessel owners, and providing shore-based port facility services. As the chief operating decision maker, the Company’s Chief Executive Officer evaluates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net income, Adjusted EBITDA and Adjusted Free Cash Flow and generating the highest possible rate of return on invested capital without a permanent commitment to any specific geographic region or customer market. </w:t>
      </w:r>
    </w:p>
    <w:p>
      <w:pPr>
        <w:pStyle w:val="TextBody"/>
        <w:bidi w:val="0"/>
        <w:spacing w:before="240" w:after="0"/>
        <w:jc w:val="left"/>
        <w:rPr>
          <w:rFonts w:ascii="Times New Roman" w:hAnsi="Times New Roman"/>
          <w:sz w:val="20"/>
        </w:rPr>
      </w:pPr>
      <w:r>
        <w:rPr>
          <w:rFonts w:ascii="Times New Roman" w:hAnsi="Times New Roman"/>
          <w:sz w:val="20"/>
        </w:rPr>
        <w:t xml:space="preserve">The revenues, expenses and net income of the Company’s one reportable segment, as reviewed and assessed by the chief operating decision maker, are equal to and categorized consistently with the amounts reflected in the consolidated statements of operations for the years ended December 31, 2024, 2023 and 2022. The measure of segment assets is reported on the consolidated balance sheet as total assets as of December 31, 2024 and 2023. </w:t>
      </w:r>
    </w:p>
    <w:p>
      <w:pPr>
        <w:pStyle w:val="TextBody"/>
        <w:bidi w:val="0"/>
        <w:spacing w:before="240" w:after="0"/>
        <w:jc w:val="left"/>
        <w:rPr>
          <w:rFonts w:ascii="Times New Roman" w:hAnsi="Times New Roman"/>
          <w:sz w:val="20"/>
        </w:rPr>
      </w:pPr>
      <w:r>
        <w:rPr>
          <w:rFonts w:ascii="Times New Roman" w:hAnsi="Times New Roman"/>
          <w:sz w:val="20"/>
        </w:rPr>
        <w:t xml:space="preserve">The chief operating decision maker utilizes net income, as reflected in the consolidated statements of operations, and net cash flows provided by operating activities, as reflected in the consolidated statements of cash flows, to measure profitability and liquidity, as well as to calculate supplemental non-GAAP financial metrics, such as EBITDA, Adjusted EBITDA and Adjusted Free Cash Flow, primarily for planning and forecasting overall expectations and for evaluating actual results against such expectations; for short-term cash bonus incentive compensation purposes; to compare to such metrics of other companies when evaluating potential acquisitions; to assess the Company’s ability to service existing fixed charges and incur additional indebtedness; and to purchase, convert or construct additional vessels. </w:t>
      </w:r>
    </w:p>
    <w:p>
      <w:pPr>
        <w:pStyle w:val="TextBody"/>
        <w:bidi w:val="0"/>
        <w:spacing w:before="360" w:after="0"/>
        <w:jc w:val="left"/>
        <w:rPr>
          <w:rFonts w:ascii="Times New Roman" w:hAnsi="Times New Roman"/>
          <w:b/>
          <w:sz w:val="20"/>
        </w:rPr>
      </w:pPr>
      <w:r>
        <w:rPr>
          <w:rFonts w:ascii="Times New Roman" w:hAnsi="Times New Roman"/>
          <w:b/>
          <w:sz w:val="20"/>
        </w:rPr>
        <w:t xml:space="preserve">20.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Trade Name and Trademark License Agreement entered into by and between the Company and HFR, LLC on September 4, 2020, the Company made payments of $2.0 million during each of the years ended December 31, 2024 and 2023,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December 31, 2024 and December 31, 2023, the Company had accrued amounts payable to HFR, LLC totaling $1.3 million and $1.3 million,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October 1, 2022, a member of the Company’s Board of Directors assumed an officer role with an existing Hornbeck customer. For the years ended December 31, 2024 and 2023, the Company generated $83.9 million, or 13%, and $111.9 million, or 20%, of revenues, respectively, from contracts with such customer. The Company had outstanding accounts receivable from this customer totaling $9.4 million and $8.0 million as of December 31, 2024 and December 31, 2023,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21.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evaluated subsequent events through March 21, 2025, which represents the date its financial statements were available to be issued and determined that all materially relevant information known through this date was appropriately addressed within the consolidated financial statements and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1200" w:after="0"/>
        <w:jc w:val="center"/>
        <w:rPr/>
      </w:pPr>
      <w:r>
        <w:rPr/>
        <w:t>   </w:t>
      </w:r>
      <w:r>
        <w:rPr>
          <w:rFonts w:ascii="arial" w:hAnsi="arial"/>
          <w:b/>
          <w:sz w:val="32"/>
        </w:rPr>
        <w:t xml:space="preserve">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000125" cy="1000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000125" cy="1000125"/>
                    </a:xfrm>
                    <a:prstGeom prst="rect">
                      <a:avLst/>
                    </a:prstGeom>
                  </pic:spPr>
                </pic:pic>
              </a:graphicData>
            </a:graphic>
          </wp:inline>
        </w:drawing>
      </w:r>
      <w:r>
        <w:rPr/>
        <w:t xml:space="preserve"> </w:t>
      </w:r>
    </w:p>
    <w:p>
      <w:pPr>
        <w:pStyle w:val="TextBody"/>
        <w:bidi w:val="0"/>
        <w:spacing w:before="360" w:after="0"/>
        <w:jc w:val="center"/>
        <w:rPr>
          <w:rFonts w:ascii="arial" w:hAnsi="arial"/>
          <w:b/>
          <w:sz w:val="40"/>
        </w:rPr>
      </w:pPr>
      <w:r>
        <w:rPr>
          <w:rFonts w:ascii="arial" w:hAnsi="arial"/>
          <w:b/>
          <w:sz w:val="40"/>
        </w:rPr>
        <w:t xml:space="preserve">Hornbeck Offshore Services, Inc. </w:t>
      </w:r>
    </w:p>
    <w:p>
      <w:pPr>
        <w:pStyle w:val="TextBody"/>
        <w:bidi w:val="0"/>
        <w:spacing w:before="360" w:after="0"/>
        <w:jc w:val="center"/>
        <w:rPr>
          <w:rFonts w:ascii="arial" w:hAnsi="arial"/>
          <w:b/>
          <w:sz w:val="32"/>
        </w:rPr>
      </w:pPr>
      <w:r>
        <w:rPr>
          <w:rFonts w:ascii="arial" w:hAnsi="arial"/>
          <w:b/>
          <w:sz w:val="32"/>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arial" w:hAnsi="arial"/>
          <w:b/>
          <w:sz w:val="32"/>
        </w:rPr>
      </w:pPr>
      <w:r>
        <w:rPr>
          <w:rFonts w:ascii="arial" w:hAnsi="arial"/>
          <w:b/>
          <w:sz w:val="32"/>
        </w:rPr>
        <w:t xml:space="preserve">Prospectus </w:t>
      </w:r>
    </w:p>
    <w:p>
      <w:pPr>
        <w:pStyle w:val="TextBody"/>
        <w:bidi w:val="0"/>
        <w:spacing w:before="360" w:after="0"/>
        <w:jc w:val="center"/>
        <w:rPr/>
      </w:pPr>
      <w:r>
        <w:rPr/>
        <w:t>   </w:t>
      </w:r>
      <w:r>
        <w:rPr>
          <w:rFonts w:ascii="Times New Roman" w:hAnsi="Times New Roman"/>
          <w:sz w:val="20"/>
        </w:rPr>
        <w:t xml:space="preserve">,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arial" w:hAnsi="arial"/>
          <w:b/>
          <w:sz w:val="32"/>
        </w:rPr>
      </w:pPr>
      <w:r>
        <w:rPr>
          <w:rFonts w:ascii="arial" w:hAnsi="arial"/>
          <w:b/>
          <w:sz w:val="32"/>
        </w:rPr>
        <w:t xml:space="preserve">J.P. Morgan </w:t>
      </w:r>
    </w:p>
    <w:p>
      <w:pPr>
        <w:pStyle w:val="TextBody"/>
        <w:bidi w:val="0"/>
        <w:spacing w:before="120" w:after="0"/>
        <w:jc w:val="center"/>
        <w:rPr>
          <w:rFonts w:ascii="arial" w:hAnsi="arial"/>
          <w:b/>
          <w:sz w:val="32"/>
        </w:rPr>
      </w:pPr>
      <w:r>
        <w:rPr>
          <w:rFonts w:ascii="arial" w:hAnsi="arial"/>
          <w:b/>
          <w:sz w:val="32"/>
        </w:rPr>
        <w:t xml:space="preserve">Barclays </w:t>
      </w:r>
    </w:p>
    <w:p>
      <w:pPr>
        <w:pStyle w:val="TextBody"/>
        <w:bidi w:val="0"/>
        <w:spacing w:before="120" w:after="0"/>
        <w:jc w:val="center"/>
        <w:rPr>
          <w:rFonts w:ascii="arial" w:hAnsi="arial"/>
          <w:b/>
          <w:sz w:val="32"/>
        </w:rPr>
      </w:pPr>
      <w:r>
        <w:rPr>
          <w:rFonts w:ascii="arial" w:hAnsi="arial"/>
          <w:b/>
          <w:sz w:val="32"/>
        </w:rPr>
        <w:t xml:space="preserve">DNB Carnegie </w:t>
      </w:r>
    </w:p>
    <w:p>
      <w:pPr>
        <w:pStyle w:val="TextBody"/>
        <w:bidi w:val="0"/>
        <w:spacing w:before="120" w:after="0"/>
        <w:jc w:val="center"/>
        <w:rPr>
          <w:rFonts w:ascii="arial" w:hAnsi="arial"/>
          <w:b/>
          <w:sz w:val="32"/>
        </w:rPr>
      </w:pPr>
      <w:r>
        <w:rPr>
          <w:rFonts w:ascii="arial" w:hAnsi="arial"/>
          <w:b/>
          <w:sz w:val="32"/>
        </w:rPr>
        <w:t xml:space="preserve">Goldman Sachs &amp; Co. LLC </w:t>
      </w:r>
    </w:p>
    <w:p>
      <w:pPr>
        <w:pStyle w:val="TextBody"/>
        <w:bidi w:val="0"/>
        <w:spacing w:before="120" w:after="0"/>
        <w:jc w:val="center"/>
        <w:rPr>
          <w:rFonts w:ascii="arial" w:hAnsi="arial"/>
          <w:b/>
          <w:sz w:val="32"/>
        </w:rPr>
      </w:pPr>
      <w:r>
        <w:rPr>
          <w:rFonts w:ascii="arial" w:hAnsi="arial"/>
          <w:b/>
          <w:sz w:val="32"/>
        </w:rPr>
        <w:t xml:space="preserve">Guggenheim Securities </w:t>
      </w:r>
    </w:p>
    <w:p>
      <w:pPr>
        <w:pStyle w:val="TextBody"/>
        <w:bidi w:val="0"/>
        <w:spacing w:before="120" w:after="0"/>
        <w:jc w:val="center"/>
        <w:rPr>
          <w:rFonts w:ascii="arial" w:hAnsi="arial"/>
          <w:b/>
          <w:sz w:val="32"/>
        </w:rPr>
      </w:pPr>
      <w:r>
        <w:rPr>
          <w:rFonts w:ascii="arial" w:hAnsi="arial"/>
          <w:b/>
          <w:sz w:val="32"/>
        </w:rPr>
        <w:t xml:space="preserve">Piper Sandler </w:t>
      </w:r>
    </w:p>
    <w:p>
      <w:pPr>
        <w:pStyle w:val="TextBody"/>
        <w:bidi w:val="0"/>
        <w:spacing w:before="120" w:after="0"/>
        <w:jc w:val="center"/>
        <w:rPr>
          <w:rFonts w:ascii="arial" w:hAnsi="arial"/>
          <w:b/>
          <w:sz w:val="32"/>
        </w:rPr>
      </w:pPr>
      <w:r>
        <w:rPr>
          <w:rFonts w:ascii="arial" w:hAnsi="arial"/>
          <w:b/>
          <w:sz w:val="32"/>
        </w:rPr>
        <w:t xml:space="preserve">Raymond James </w:t>
      </w:r>
    </w:p>
    <w:p>
      <w:pPr>
        <w:pStyle w:val="TextBody"/>
        <w:bidi w:val="0"/>
        <w:spacing w:before="120" w:after="0"/>
        <w:jc w:val="center"/>
        <w:rPr>
          <w:rFonts w:ascii="arial" w:hAnsi="arial"/>
          <w:b/>
          <w:sz w:val="32"/>
        </w:rPr>
      </w:pPr>
      <w:r>
        <w:rPr>
          <w:rFonts w:ascii="arial" w:hAnsi="arial"/>
          <w:b/>
          <w:sz w:val="32"/>
        </w:rPr>
        <w:t xml:space="preserve">BTIG </w:t>
      </w:r>
    </w:p>
    <w:p>
      <w:pPr>
        <w:pStyle w:val="TextBody"/>
        <w:bidi w:val="0"/>
        <w:spacing w:before="120" w:after="0"/>
        <w:jc w:val="center"/>
        <w:rPr>
          <w:rFonts w:ascii="arial" w:hAnsi="arial"/>
          <w:b/>
          <w:sz w:val="32"/>
        </w:rPr>
      </w:pPr>
      <w:r>
        <w:rPr>
          <w:rFonts w:ascii="arial" w:hAnsi="arial"/>
          <w:b/>
          <w:sz w:val="32"/>
        </w:rPr>
        <w:t xml:space="preserve">Johnson Rice &amp; Company </w:t>
      </w:r>
    </w:p>
    <w:p>
      <w:pPr>
        <w:pStyle w:val="TextBody"/>
        <w:bidi w:val="0"/>
        <w:spacing w:before="120" w:after="0"/>
        <w:jc w:val="center"/>
        <w:rPr>
          <w:rFonts w:ascii="arial" w:hAnsi="arial"/>
          <w:b/>
          <w:sz w:val="32"/>
        </w:rPr>
      </w:pPr>
      <w:r>
        <w:rPr>
          <w:rFonts w:ascii="arial" w:hAnsi="arial"/>
          <w:b/>
          <w:sz w:val="32"/>
        </w:rPr>
        <w:t xml:space="preserve">Pickering Energy Partners </w:t>
      </w:r>
    </w:p>
    <w:p>
      <w:pPr>
        <w:pStyle w:val="TextBody"/>
        <w:bidi w:val="0"/>
        <w:spacing w:before="120" w:after="0"/>
        <w:jc w:val="center"/>
        <w:rPr>
          <w:rFonts w:ascii="arial" w:hAnsi="arial"/>
          <w:b/>
          <w:sz w:val="32"/>
        </w:rPr>
      </w:pPr>
      <w:r>
        <w:rPr>
          <w:rFonts w:ascii="arial" w:hAnsi="arial"/>
          <w:b/>
          <w:sz w:val="32"/>
        </w:rPr>
        <w:t xml:space="preserve">Seaport Global Securities </w:t>
      </w:r>
    </w:p>
    <w:p>
      <w:pPr>
        <w:pStyle w:val="TextBody"/>
        <w:bidi w:val="0"/>
        <w:spacing w:before="120" w:after="0"/>
        <w:jc w:val="center"/>
        <w:rPr>
          <w:rFonts w:ascii="arial" w:hAnsi="arial"/>
          <w:b/>
          <w:sz w:val="32"/>
        </w:rPr>
      </w:pPr>
      <w:r>
        <w:rPr>
          <w:rFonts w:ascii="arial" w:hAnsi="arial"/>
          <w:b/>
          <w:sz w:val="32"/>
        </w:rPr>
        <w:t xml:space="preserve">Academy Securities </w:t>
      </w:r>
    </w:p>
    <w:p>
      <w:pPr>
        <w:pStyle w:val="TextBody"/>
        <w:bidi w:val="0"/>
        <w:spacing w:before="120" w:after="0"/>
        <w:jc w:val="center"/>
        <w:rPr>
          <w:rFonts w:ascii="arial" w:hAnsi="arial"/>
          <w:b/>
          <w:sz w:val="32"/>
        </w:rPr>
      </w:pPr>
      <w:r>
        <w:rPr>
          <w:rFonts w:ascii="arial" w:hAnsi="arial"/>
          <w:b/>
          <w:sz w:val="32"/>
        </w:rPr>
        <w:t xml:space="preserve">Drexel Hamilton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99"/>
        <w:gridCol w:w="416"/>
        <w:gridCol w:w="61"/>
        <w:gridCol w:w="902"/>
        <w:gridCol w:w="61"/>
      </w:tblGrid>
      <w:tr>
        <w:trPr/>
        <w:tc>
          <w:tcPr>
            <w:tcW w:w="5499"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r>
              <w:rPr/>
              <w:t>*</w:t>
            </w:r>
          </w:p>
        </w:tc>
        <w:tc>
          <w:tcPr>
            <w:tcW w:w="61" w:type="dxa"/>
            <w:tcBorders/>
            <w:vAlign w:val="bottom"/>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Listing fee</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Printing fees and expenses</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r>
              <w:rPr/>
              <w:t>*</w:t>
            </w:r>
          </w:p>
        </w:tc>
        <w:tc>
          <w:tcPr>
            <w:tcW w:w="61" w:type="dxa"/>
            <w:tcBorders/>
            <w:vAlign w:val="bottom"/>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Blue sky fees and expenses</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r>
              <w:rPr/>
              <w:t>*</w:t>
            </w:r>
          </w:p>
        </w:tc>
        <w:tc>
          <w:tcPr>
            <w:tcW w:w="61" w:type="dxa"/>
            <w:tcBorders/>
            <w:vAlign w:val="bottom"/>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Registrar and transfer agent fees</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right"/>
              <w:rPr/>
            </w:pPr>
            <w:r>
              <w:rPr/>
              <w:t>    </w:t>
            </w:r>
            <w:r>
              <w:rPr/>
              <w:t>*</w:t>
            </w:r>
          </w:p>
        </w:tc>
        <w:tc>
          <w:tcPr>
            <w:tcW w:w="61" w:type="dxa"/>
            <w:tcBorders/>
            <w:vAlign w:val="bottom"/>
          </w:tcPr>
          <w:p>
            <w:pPr>
              <w:pStyle w:val="TableContents"/>
              <w:bidi w:val="0"/>
              <w:spacing w:before="0" w:after="283"/>
              <w:jc w:val="left"/>
              <w:rPr/>
            </w:pPr>
            <w:r>
              <w:rPr/>
              <w:t> </w:t>
            </w:r>
          </w:p>
        </w:tc>
      </w:tr>
      <w:tr>
        <w:trPr/>
        <w:tc>
          <w:tcPr>
            <w:tcW w:w="54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16"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902" w:type="dxa"/>
            <w:tcBorders/>
            <w:shd w:fill="CCEEFF" w:val="clear"/>
            <w:vAlign w:val="bottom"/>
          </w:tcPr>
          <w:p>
            <w:pPr>
              <w:pStyle w:val="TableContents"/>
              <w:bidi w:val="0"/>
              <w:spacing w:before="0" w:after="283"/>
              <w:jc w:val="right"/>
              <w:rPr/>
            </w:pPr>
            <w:r>
              <w:rPr/>
              <w:t>    </w:t>
            </w:r>
            <w:r>
              <w:rPr/>
              <w:t>*</w:t>
            </w:r>
          </w:p>
        </w:tc>
        <w:tc>
          <w:tcPr>
            <w:tcW w:w="61" w:type="dxa"/>
            <w:tcBorders/>
            <w:shd w:fill="CCEEFF" w:val="clear"/>
            <w:vAlign w:val="bottom"/>
          </w:tcPr>
          <w:p>
            <w:pPr>
              <w:pStyle w:val="TableContents"/>
              <w:bidi w:val="0"/>
              <w:spacing w:before="0" w:after="283"/>
              <w:jc w:val="left"/>
              <w:rPr/>
            </w:pPr>
            <w:r>
              <w:rPr/>
              <w:t> </w:t>
            </w:r>
          </w:p>
        </w:tc>
      </w:tr>
      <w:tr>
        <w:trPr/>
        <w:tc>
          <w:tcPr>
            <w:tcW w:w="5499"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902"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549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02"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r>
      <w:tr>
        <w:trPr/>
        <w:tc>
          <w:tcPr>
            <w:tcW w:w="5499" w:type="dxa"/>
            <w:tcBorders/>
            <w:vAlign w:val="bottom"/>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902" w:type="dxa"/>
            <w:tcBorders/>
            <w:vAlign w:val="bottom"/>
          </w:tcPr>
          <w:p>
            <w:pPr>
              <w:pStyle w:val="TableContents"/>
              <w:pBdr>
                <w:top w:val="double" w:sz="6"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completed by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no director or officer shall be liable to us or our stockholders for monetary damages for breach of fiduciary duty as a director or officer, as applicable, except to the extent such exemption from liability or limitation on liability is not permitted under the DGCL, as now in effect or as amended. Currently, Section 102(b)(7) of the DGCL requires that liability be imposed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or officer’s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which involved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officer, any derivative 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charter provides that, to the fullest extent authorized or permitted by the DGCL, as now in effect or as amended, we will indemnify any person who was or is a party or is threatened to be made a party to or is otherwise involved (including involvement, without limitation, as a witness) in any actual or threatened action, suit or proceeding by reason of the fact that such person is or was our director, advisory director, board observer or officer, or by reason of the fact that our director, advisory director, board observer or officer is or was serving, at our request, as a director, advisory director, board observer, officer, employee or agent of another corporation or of a partnership, joint venture, trust or other enterprise, including service with respect to employee benefit plans. We will indemnify such persons against expenses, liabilities, and loss (including attorneys’ fees and related disbursements, judgments, fines, excise taxes or penalties under the Employee Retirement Income Security Act of 1974, penalties and amounts paid in settlement) reasonably incurred or suffered in connection with such action.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for indemnification by the underwriters of us and our officers and directors, and by us of the underwriters, for certain liabilities arising under the Securities Act or otherwise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Service-Related Issuances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issued 308,418 shares of common stock pursuant to the 2020 Management Incentive Plan. Since the Chapter 11 Cases, the Company has granted 728,413 stock options and 1,522,737 restricted stock units pursuant to the 2020 Management Incentive Plan, including the following grants made in the last three years: (i) on March 23, 2023, the Board of Directors granted certain employees and directors additional restricted stock unit awards pursuant to the 2020 Management Incentive Plan, of which 196,704 shares of common stock vested immediately and an additional 71,687 shares vested on February 15, 2024, 58,187 shares vested on February 15, 2025 and 32,353 shares will vest on February 15, 2026, (ii) on April 1, 2024, the Board of Directors granted certain directors additional restricted stock unit awards pursuant to the 2020 Management Incentive Plan, of which 5,590 shares of common stock vested immediately and an additional 831 shares vested on February 15, 2025, (iii) on April 1, 2025, the Board of Directors granted certain employees and directors additional restricted stock unit awards pursuant to the 2020 Management Incentive Plan, of which 4,686 shares of common stock vested immediately and an additional 29,020 shares will vest pursuant to the terms of the respective award agreements, and (iv) on April 1, 2025, the Board of Directors granted certain employees Non-Qualified Stock Options, of which 129,931 will vest pursuant to the terms of the respective award agreements. These shares will net-settle within 60 days of the date of vesting.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issuances were exempt from registration under Section 4(a)(2) of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Issuances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On December 22, 2021, the Company issued 283,732 shares of common stock and 1,567,013 Jones Act Warrants in a preemptive rights offering relating to the conversion of $15 million of outstanding indebtedness on December 22, 2021. Concurrent with the closing of the preemptive rights offering on December 22, 2021, the Company issued 100,745 shares of common stock under a Stock Purchase Plan that was established on November 29, 2021 for gross cash proceeds of $2.0 million.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issuances were exempt from registration under Section 1145 of the Bankruptcy Code or Section 4(a)(2)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9"/>
        <w:gridCol w:w="318"/>
        <w:gridCol w:w="8938"/>
      </w:tblGrid>
      <w:tr>
        <w:trPr/>
        <w:tc>
          <w:tcPr>
            <w:tcW w:w="949"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8938" w:type="dxa"/>
            <w:tcBorders/>
            <w:vAlign w:val="center"/>
          </w:tcPr>
          <w:p>
            <w:pPr>
              <w:pStyle w:val="TableContents"/>
              <w:bidi w:val="0"/>
              <w:spacing w:before="0" w:after="283"/>
              <w:jc w:val="left"/>
              <w:rPr>
                <w:sz w:val="4"/>
                <w:szCs w:val="4"/>
              </w:rPr>
            </w:pPr>
            <w:r>
              <w:rPr>
                <w:sz w:val="4"/>
                <w:szCs w:val="4"/>
              </w:rPr>
            </w:r>
          </w:p>
        </w:tc>
      </w:tr>
      <w:tr>
        <w:trPr/>
        <w:tc>
          <w:tcPr>
            <w:tcW w:w="949"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318" w:type="dxa"/>
            <w:tcBorders/>
            <w:vAlign w:val="bottom"/>
          </w:tcPr>
          <w:p>
            <w:pPr>
              <w:pStyle w:val="TableContents"/>
              <w:bidi w:val="0"/>
              <w:spacing w:before="0" w:after="283"/>
              <w:jc w:val="left"/>
              <w:rPr/>
            </w:pPr>
            <w:r>
              <w:rPr/>
              <w:t>  </w:t>
            </w:r>
          </w:p>
        </w:tc>
        <w:tc>
          <w:tcPr>
            <w:tcW w:w="89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1.1*</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25">
              <w:r>
                <w:rPr>
                  <w:rStyle w:val="InternetLink"/>
                </w:rPr>
                <w:t xml:space="preserve">Form of Underwriting Agreement.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2.1*</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26">
              <w:r>
                <w:rPr>
                  <w:rStyle w:val="InternetLink"/>
                </w:rPr>
                <w:t xml:space="preserve">Plan of Reorganization Under Chapter 11 of the U.S. Bankruptcy Code.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3.1*</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27">
              <w:r>
                <w:rPr>
                  <w:rStyle w:val="InternetLink"/>
                </w:rPr>
                <w:t xml:space="preserve">Third Amended and Restated Certificate of Incorporation of Hornbeck Offshore Services, Inc.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3.2*</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28">
              <w:r>
                <w:rPr>
                  <w:rStyle w:val="InternetLink"/>
                </w:rPr>
                <w:t xml:space="preserve">Fifth Amended and Restated Bylaws of Hornbeck Offshore Services, Inc.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3.3*</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29">
              <w:r>
                <w:rPr>
                  <w:rStyle w:val="InternetLink"/>
                </w:rPr>
                <w:t xml:space="preserve">Form of Fourth Amended and Restated Certificate of Incorporation of Hornbeck Offshore Services, Inc., to be effective upon consummation of this offering.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3.4*</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0">
              <w:r>
                <w:rPr>
                  <w:rStyle w:val="InternetLink"/>
                </w:rPr>
                <w:t>Form of Sixth Amended and Restated Bylaws of Hornbeck Offshore Services, Inc., to be effective upon consummation of this offering.</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4.1^*</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1">
              <w:r>
                <w:rPr>
                  <w:rStyle w:val="InternetLink"/>
                </w:rPr>
                <w:t xml:space="preserve">Jones Act Warrant Agreement, dated as of September  4, 2020, between Hornbeck Offshore Services, Inc. and Computershare, Inc. and Computershare Trust Company, N.A.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4.2*</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2">
              <w:r>
                <w:rPr>
                  <w:rStyle w:val="InternetLink"/>
                </w:rPr>
                <w:t xml:space="preserve">Amendment No. 1 to Jones Act Warrant Agreement, dated as of December  31, 2020, by and among Hornbeck Offshore Services, Inc., Computershare Inc., Computershare Trust Company, N.A. and certain holders signatory thereto.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4.3*</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3">
              <w:r>
                <w:rPr>
                  <w:rStyle w:val="InternetLink"/>
                </w:rPr>
                <w:t xml:space="preserve">Jones Act Anti-Dilution Warrant Agreement, dated as of September  4, 2020, between Hornbeck Offshore Services, Inc. and Computershare, Inc. and Computershare Trust Company, N.A.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4.4^*</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4">
              <w:r>
                <w:rPr>
                  <w:rStyle w:val="InternetLink"/>
                </w:rPr>
                <w:t xml:space="preserve">Creditor Warrant Agreement, dated as of September  4, 2020, between Hornbeck Offshore Services, Inc. and Computershare, Inc. and Computershare Trust Company, N.A.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4.5*</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5">
              <w:r>
                <w:rPr>
                  <w:rStyle w:val="InternetLink"/>
                </w:rPr>
                <w:t xml:space="preserve">Securityholders Agreement, dated as of September  4, 2020, by and among Hornbeck Offshore Services, Inc. and the other parties thereto.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4.6*</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6">
              <w:r>
                <w:rPr>
                  <w:rStyle w:val="InternetLink"/>
                </w:rPr>
                <w:t xml:space="preserve">Amendment No. 1 to Securityholders Agreement, dated as of December  2, 2021, by and among Hornbeck Offshore Services, Inc. and the other parties thereto.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4.7*</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7">
              <w:r>
                <w:rPr>
                  <w:rStyle w:val="InternetLink"/>
                </w:rPr>
                <w:t xml:space="preserve">Amendment No. 2 to Securityholders Agreement, dated as of July  7, 2023, by and among Hornbeck Offshore Services, Inc. and the other parties thereto.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4.8*</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8">
              <w:r>
                <w:rPr>
                  <w:rStyle w:val="InternetLink"/>
                </w:rPr>
                <w:t xml:space="preserve">Form of Amended and Restated Securityholders Agreement.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4.9*</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39">
              <w:r>
                <w:rPr>
                  <w:rStyle w:val="InternetLink"/>
                </w:rPr>
                <w:t xml:space="preserve">Form of Registration Rights Agreement.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4.10^*</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40">
              <w:r>
                <w:rPr>
                  <w:rStyle w:val="InternetLink"/>
                </w:rPr>
                <w:t>Amendment No. 1 to Creditor Warrant Agreement, dated December  10, 2024, between Hornbeck Offshore Services, Inc. and Computershare, Inc. and Computershare Trust Company, N.A.</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5.1*</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41">
              <w:r>
                <w:rPr>
                  <w:rStyle w:val="InternetLink"/>
                </w:rPr>
                <w:t xml:space="preserve">Form of Opinion of Kirkland &amp; Ellis LLP as to the legality of the common stock.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10.1*</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42">
              <w:r>
                <w:rPr>
                  <w:rStyle w:val="InternetLink"/>
                </w:rPr>
                <w:t xml:space="preserve">Form of Indemnification Agreement (between Hornbeck Offshore Services, Inc. and its directors and officers).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10.2*</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43">
              <w:r>
                <w:rPr>
                  <w:rStyle w:val="InternetLink"/>
                </w:rPr>
                <w:t xml:space="preserve">2020 Management Incentive Plan of Hornbeck Offshore Services, Inc.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10.3*</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44">
              <w:r>
                <w:rPr>
                  <w:rStyle w:val="InternetLink"/>
                </w:rPr>
                <w:t xml:space="preserve">First Amendment to the 2020 Management Incentive Plan of Hornbeck Offshore Services, Inc.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10.4</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w:anchor="d66194dex104.htm">
              <w:r>
                <w:rPr>
                  <w:rStyle w:val="InternetLink"/>
                </w:rPr>
                <w:t xml:space="preserve">Form of Hornbeck Offshore Services, Inc. 2026 Omnibus Incentive Plan.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10.5*</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45">
              <w:r>
                <w:rPr>
                  <w:rStyle w:val="InternetLink"/>
                </w:rPr>
                <w:t xml:space="preserve">Form of Employment Agreement (Todd M. Hornbeck).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10.6*</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46">
              <w:r>
                <w:rPr>
                  <w:rStyle w:val="InternetLink"/>
                </w:rPr>
                <w:t xml:space="preserve">Form of Employment Agreement (Non-CEO Executive Officers). </w:t>
              </w:r>
            </w:hyperlink>
          </w:p>
        </w:tc>
      </w:tr>
      <w:tr>
        <w:trPr>
          <w:trHeight w:val="120" w:hRule="atLeast"/>
        </w:trPr>
        <w:tc>
          <w:tcPr>
            <w:tcW w:w="949" w:type="dxa"/>
            <w:tcBorders/>
            <w:vAlign w:val="center"/>
          </w:tcPr>
          <w:p>
            <w:pPr>
              <w:pStyle w:val="TableContents"/>
              <w:bidi w:val="0"/>
              <w:spacing w:before="0" w:after="283"/>
              <w:jc w:val="left"/>
              <w:rPr>
                <w:sz w:val="4"/>
                <w:szCs w:val="4"/>
              </w:rPr>
            </w:pPr>
            <w:r>
              <w:rPr>
                <w:sz w:val="4"/>
                <w:szCs w:val="4"/>
              </w:rPr>
            </w:r>
          </w:p>
        </w:tc>
        <w:tc>
          <w:tcPr>
            <w:tcW w:w="9256" w:type="dxa"/>
            <w:gridSpan w:val="2"/>
            <w:tcBorders/>
            <w:vAlign w:val="center"/>
          </w:tcPr>
          <w:p>
            <w:pPr>
              <w:pStyle w:val="TableContents"/>
              <w:bidi w:val="0"/>
              <w:spacing w:before="0" w:after="283"/>
              <w:jc w:val="left"/>
              <w:rPr>
                <w:sz w:val="4"/>
                <w:szCs w:val="4"/>
              </w:rPr>
            </w:pPr>
            <w:r>
              <w:rPr>
                <w:sz w:val="4"/>
                <w:szCs w:val="4"/>
              </w:rPr>
            </w:r>
          </w:p>
        </w:tc>
      </w:tr>
      <w:tr>
        <w:trPr/>
        <w:tc>
          <w:tcPr>
            <w:tcW w:w="949" w:type="dxa"/>
            <w:tcBorders/>
          </w:tcPr>
          <w:p>
            <w:pPr>
              <w:pStyle w:val="TableContents"/>
              <w:bidi w:val="0"/>
              <w:spacing w:before="0" w:after="283"/>
              <w:jc w:val="left"/>
              <w:rPr/>
            </w:pPr>
            <w:r>
              <w:rPr/>
              <w:t> </w:t>
            </w:r>
            <w:r>
              <w:rPr/>
              <w:t>10.7*</w:t>
            </w:r>
          </w:p>
        </w:tc>
        <w:tc>
          <w:tcPr>
            <w:tcW w:w="318" w:type="dxa"/>
            <w:tcBorders/>
            <w:vAlign w:val="bottom"/>
          </w:tcPr>
          <w:p>
            <w:pPr>
              <w:pStyle w:val="TableContents"/>
              <w:bidi w:val="0"/>
              <w:spacing w:before="0" w:after="283"/>
              <w:jc w:val="left"/>
              <w:rPr/>
            </w:pPr>
            <w:r>
              <w:rPr/>
              <w:t>  </w:t>
            </w:r>
          </w:p>
        </w:tc>
        <w:tc>
          <w:tcPr>
            <w:tcW w:w="8938" w:type="dxa"/>
            <w:tcBorders/>
          </w:tcPr>
          <w:p>
            <w:pPr>
              <w:pStyle w:val="TableContents"/>
              <w:bidi w:val="0"/>
              <w:spacing w:before="0" w:after="283"/>
              <w:jc w:val="left"/>
              <w:rPr/>
            </w:pPr>
            <w:hyperlink r:id="rId47">
              <w:r>
                <w:rPr>
                  <w:rStyle w:val="InternetLink"/>
                </w:rPr>
                <w:t xml:space="preserve">Amended and Restated Employment Agreement dated September  4, 2020, by and between Hornbeck Offshore Operators, LLC and Todd M. Hornbeck.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38"/>
        <w:gridCol w:w="414"/>
        <w:gridCol w:w="8853"/>
      </w:tblGrid>
      <w:tr>
        <w:trPr/>
        <w:tc>
          <w:tcPr>
            <w:tcW w:w="938" w:type="dxa"/>
            <w:tcBorders/>
            <w:vAlign w:val="center"/>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8853" w:type="dxa"/>
            <w:tcBorders/>
            <w:vAlign w:val="center"/>
          </w:tcPr>
          <w:p>
            <w:pPr>
              <w:pStyle w:val="TableContents"/>
              <w:bidi w:val="0"/>
              <w:spacing w:before="0" w:after="283"/>
              <w:jc w:val="left"/>
              <w:rPr>
                <w:sz w:val="4"/>
                <w:szCs w:val="4"/>
              </w:rPr>
            </w:pPr>
            <w:r>
              <w:rPr>
                <w:sz w:val="4"/>
                <w:szCs w:val="4"/>
              </w:rPr>
            </w:r>
          </w:p>
        </w:tc>
      </w:tr>
      <w:tr>
        <w:trPr/>
        <w:tc>
          <w:tcPr>
            <w:tcW w:w="938"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414" w:type="dxa"/>
            <w:tcBorders/>
            <w:vAlign w:val="bottom"/>
          </w:tcPr>
          <w:p>
            <w:pPr>
              <w:pStyle w:val="TableContents"/>
              <w:bidi w:val="0"/>
              <w:spacing w:before="0" w:after="283"/>
              <w:jc w:val="left"/>
              <w:rPr/>
            </w:pPr>
            <w:r>
              <w:rPr/>
              <w:t>  </w:t>
            </w:r>
          </w:p>
        </w:tc>
        <w:tc>
          <w:tcPr>
            <w:tcW w:w="88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10.8*</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48">
              <w:r>
                <w:rPr>
                  <w:rStyle w:val="InternetLink"/>
                </w:rPr>
                <w:t xml:space="preserve">Amended and Restated Employment Agreement dated September  4, 2020, by and between Hornbeck Offshore Operators, LLC and James O. Harp, Jr.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10.9*</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49">
              <w:r>
                <w:rPr>
                  <w:rStyle w:val="InternetLink"/>
                </w:rPr>
                <w:t>Amended and Restated Employment Agreement dated September 4, 2020, by and between Hornbeck Offshore Operators, LLC and John S. Cook.</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10.10*</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0">
              <w:r>
                <w:rPr>
                  <w:rStyle w:val="InternetLink"/>
                </w:rPr>
                <w:t xml:space="preserve">Amended and Restated Employment Agreement dated September  4, 2020, by and between Hornbeck Offshore Operators, LLC and Samuel A. Giberga.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10.11*</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1">
              <w:r>
                <w:rPr>
                  <w:rStyle w:val="InternetLink"/>
                </w:rPr>
                <w:t xml:space="preserve">Amended and Restated Employment Agreement dated September  4, 2020, by and between Hornbeck Offshore Operators, LLC and Carl G. Annessa.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10.12^*</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2">
              <w:r>
                <w:rPr>
                  <w:rStyle w:val="InternetLink"/>
                </w:rPr>
                <w:t>Second Lien Term Loan Credit Agreement, dated September</w:t>
              </w:r>
            </w:hyperlink>
            <w:hyperlink r:id="rId53">
              <w:r>
                <w:rPr>
                  <w:rStyle w:val="InternetLink"/>
                  <w:u w:val="single"/>
                </w:rPr>
                <w:t>  4, 2020, by and among Hornbeck Offshore Services, Inc., as parent borrower, Hornbeck Offshore Services, LLC, as co-borrower,  Wilmington Trust, National Association, as administrative agent and collateral agent, and the lenders party thereto.</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10.13*</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4">
              <w:r>
                <w:rPr>
                  <w:rStyle w:val="InternetLink"/>
                </w:rPr>
                <w:t xml:space="preserve">Amendment No. 1 to Second Lien Credit Agreement and Amendment No.  1 to the Effective Date Junior Lien Intercreditor Agreement, dated December  22, 2021, by and among Hornbeck Offshore Services, Inc., as parent borrower, Hornbeck Offshore Services, LLC, as co-borrower, Wilmington Trust, National Association, as administrative agent and collateral agent, and the lenders party thereto.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10.14*</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5">
              <w:r>
                <w:rPr>
                  <w:rStyle w:val="InternetLink"/>
                </w:rPr>
                <w:t xml:space="preserve">Second Amendment to Second Lien Credit Agreement, dated June  6, 2022, by and among Hornbeck Offshore Services, Inc., as parent borrower, Hornbeck Offshore Services, LLC, as co-borrower, Wilmington Trust, National Association, as administrative agent and collateral agent, and the lenders party thereto.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10.15^*</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6">
              <w:r>
                <w:rPr>
                  <w:rStyle w:val="InternetLink"/>
                </w:rPr>
                <w:t xml:space="preserve">Credit Agreement, dated as of August  13, 2024, by and among Hornbeck Offshore Services, Inc., DNB Bank ASA, New York Branch, as administrative agent, Wilmington Trust, National Association, as collateral agent, and the lenders party thereto.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10.16*</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7">
              <w:r>
                <w:rPr>
                  <w:rStyle w:val="InternetLink"/>
                </w:rPr>
                <w:t xml:space="preserve">Third Amended and Restated Trade Name and Trademark License Agreement, dated September  4, 2020, by and among HFR, LLC and Hornbeck Offshore Operators, LLC.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10.17*</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8">
              <w:r>
                <w:rPr>
                  <w:rStyle w:val="InternetLink"/>
                </w:rPr>
                <w:t xml:space="preserve">Form of Fourth Amended and Restated Trade Name and Trademark License Agreement.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10.18*</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59">
              <w:r>
                <w:rPr>
                  <w:rStyle w:val="InternetLink"/>
                </w:rPr>
                <w:t xml:space="preserve">Settlement Term Sheet, effective as of October  3, 2023, by and among Hornbeck Offshore Services, LLC, Gulf Island Shipyards, LLC, Gulf Island Fabrication, Inc., Fidelity &amp; Deposit Company of Maryland and Zurich American Insurance Company.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10.19*</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60">
              <w:r>
                <w:rPr>
                  <w:rStyle w:val="InternetLink"/>
                </w:rPr>
                <w:t xml:space="preserve">Takeover Agreement, dated as of October 3, 2023, by and among Hornbeck Offshore Services, LLC, Fidelity  &amp; Deposit Company of Maryland and Zurich American Insurance Company.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10.20*</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61">
              <w:r>
                <w:rPr>
                  <w:rStyle w:val="InternetLink"/>
                </w:rPr>
                <w:t xml:space="preserve">Form of Non-Qualified Stock Option Award Agreement.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10.21*</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62">
              <w:r>
                <w:rPr>
                  <w:rStyle w:val="InternetLink"/>
                </w:rPr>
                <w:t xml:space="preserve">Form of Restricted Stock Unit Award Agreement.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10.22*</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63">
              <w:r>
                <w:rPr>
                  <w:rStyle w:val="InternetLink"/>
                </w:rPr>
                <w:t>Second Amendment to the 2020 Management Incentive Plan of Hornbeck Offshore Services, Inc.</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10.23*</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64">
              <w:r>
                <w:rPr>
                  <w:rStyle w:val="InternetLink"/>
                </w:rPr>
                <w:t xml:space="preserve">Hornbeck Offshore Services, Inc. 2025 Cash Long Term Incentive Plan.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10.24^*</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65">
              <w:r>
                <w:rPr>
                  <w:rStyle w:val="InternetLink"/>
                </w:rPr>
                <w:t>First Amendment to Credit Agreement, dated as of December  27, 2024, by and among Hornbeck Offshore Services, Inc., DNB Bank ASA, New York Branch, as administrative agent, Wilmington Trust, National Association, as collateral agent, and the lenders party thereto.</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10.25^*</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r:id="rId66">
              <w:r>
                <w:rPr>
                  <w:rStyle w:val="InternetLink"/>
                </w:rPr>
                <w:t xml:space="preserve">Second Lien Term Loan Credit Agreement, dated December  27, 2024, by and among Hornbeck Offshore Services, Inc., as borrower, Wilmington Trust, National Association, as administrative agent and collateral agent, and the lenders party thereto. </w:t>
              </w:r>
            </w:hyperlink>
          </w:p>
        </w:tc>
      </w:tr>
      <w:tr>
        <w:trPr>
          <w:trHeight w:val="120" w:hRule="atLeast"/>
        </w:trPr>
        <w:tc>
          <w:tcPr>
            <w:tcW w:w="938" w:type="dxa"/>
            <w:tcBorders/>
            <w:vAlign w:val="center"/>
          </w:tcPr>
          <w:p>
            <w:pPr>
              <w:pStyle w:val="TableContents"/>
              <w:bidi w:val="0"/>
              <w:spacing w:before="0" w:after="283"/>
              <w:jc w:val="left"/>
              <w:rPr>
                <w:sz w:val="4"/>
                <w:szCs w:val="4"/>
              </w:rPr>
            </w:pPr>
            <w:r>
              <w:rPr>
                <w:sz w:val="4"/>
                <w:szCs w:val="4"/>
              </w:rPr>
            </w:r>
          </w:p>
        </w:tc>
        <w:tc>
          <w:tcPr>
            <w:tcW w:w="9267" w:type="dxa"/>
            <w:gridSpan w:val="2"/>
            <w:tcBorders/>
            <w:vAlign w:val="center"/>
          </w:tcPr>
          <w:p>
            <w:pPr>
              <w:pStyle w:val="TableContents"/>
              <w:bidi w:val="0"/>
              <w:spacing w:before="0" w:after="283"/>
              <w:jc w:val="left"/>
              <w:rPr>
                <w:sz w:val="4"/>
                <w:szCs w:val="4"/>
              </w:rPr>
            </w:pPr>
            <w:r>
              <w:rPr>
                <w:sz w:val="4"/>
                <w:szCs w:val="4"/>
              </w:rPr>
            </w:r>
          </w:p>
        </w:tc>
      </w:tr>
      <w:tr>
        <w:trPr/>
        <w:tc>
          <w:tcPr>
            <w:tcW w:w="938" w:type="dxa"/>
            <w:tcBorders/>
          </w:tcPr>
          <w:p>
            <w:pPr>
              <w:pStyle w:val="TableContents"/>
              <w:bidi w:val="0"/>
              <w:spacing w:before="0" w:after="283"/>
              <w:jc w:val="left"/>
              <w:rPr/>
            </w:pPr>
            <w:r>
              <w:rPr/>
              <w:t> </w:t>
            </w:r>
            <w:r>
              <w:rPr/>
              <w:t>10.26</w:t>
            </w:r>
          </w:p>
        </w:tc>
        <w:tc>
          <w:tcPr>
            <w:tcW w:w="414" w:type="dxa"/>
            <w:tcBorders/>
            <w:vAlign w:val="bottom"/>
          </w:tcPr>
          <w:p>
            <w:pPr>
              <w:pStyle w:val="TableContents"/>
              <w:bidi w:val="0"/>
              <w:spacing w:before="0" w:after="283"/>
              <w:jc w:val="left"/>
              <w:rPr/>
            </w:pPr>
            <w:r>
              <w:rPr/>
              <w:t>  </w:t>
            </w:r>
          </w:p>
        </w:tc>
        <w:tc>
          <w:tcPr>
            <w:tcW w:w="8853" w:type="dxa"/>
            <w:tcBorders/>
          </w:tcPr>
          <w:p>
            <w:pPr>
              <w:pStyle w:val="TableContents"/>
              <w:bidi w:val="0"/>
              <w:spacing w:before="0" w:after="283"/>
              <w:jc w:val="left"/>
              <w:rPr/>
            </w:pPr>
            <w:hyperlink w:anchor="d66194dex1026.htm">
              <w:r>
                <w:rPr>
                  <w:rStyle w:val="InternetLink"/>
                </w:rPr>
                <w:t xml:space="preserve">Form of Creditor Warrant Repurchase Agreement.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12"/>
        <w:gridCol w:w="507"/>
        <w:gridCol w:w="8886"/>
      </w:tblGrid>
      <w:tr>
        <w:trPr/>
        <w:tc>
          <w:tcPr>
            <w:tcW w:w="812" w:type="dxa"/>
            <w:tcBorders/>
            <w:vAlign w:val="center"/>
          </w:tcPr>
          <w:p>
            <w:pPr>
              <w:pStyle w:val="TableContents"/>
              <w:bidi w:val="0"/>
              <w:spacing w:before="0" w:after="283"/>
              <w:jc w:val="left"/>
              <w:rPr>
                <w:sz w:val="4"/>
                <w:szCs w:val="4"/>
              </w:rPr>
            </w:pPr>
            <w:r>
              <w:rPr>
                <w:sz w:val="4"/>
                <w:szCs w:val="4"/>
              </w:rPr>
            </w:r>
          </w:p>
        </w:tc>
        <w:tc>
          <w:tcPr>
            <w:tcW w:w="507" w:type="dxa"/>
            <w:tcBorders/>
            <w:vAlign w:val="bottom"/>
          </w:tcPr>
          <w:p>
            <w:pPr>
              <w:pStyle w:val="TableContents"/>
              <w:bidi w:val="0"/>
              <w:spacing w:before="0" w:after="283"/>
              <w:jc w:val="left"/>
              <w:rPr>
                <w:sz w:val="4"/>
                <w:szCs w:val="4"/>
              </w:rPr>
            </w:pPr>
            <w:r>
              <w:rPr>
                <w:sz w:val="4"/>
                <w:szCs w:val="4"/>
              </w:rPr>
            </w:r>
          </w:p>
        </w:tc>
        <w:tc>
          <w:tcPr>
            <w:tcW w:w="8886" w:type="dxa"/>
            <w:tcBorders/>
            <w:vAlign w:val="center"/>
          </w:tcPr>
          <w:p>
            <w:pPr>
              <w:pStyle w:val="TableContents"/>
              <w:bidi w:val="0"/>
              <w:spacing w:before="0" w:after="283"/>
              <w:jc w:val="left"/>
              <w:rPr>
                <w:sz w:val="4"/>
                <w:szCs w:val="4"/>
              </w:rPr>
            </w:pPr>
            <w:r>
              <w:rPr>
                <w:sz w:val="4"/>
                <w:szCs w:val="4"/>
              </w:rPr>
            </w:r>
          </w:p>
        </w:tc>
      </w:tr>
      <w:tr>
        <w:trPr/>
        <w:tc>
          <w:tcPr>
            <w:tcW w:w="812"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507" w:type="dxa"/>
            <w:tcBorders/>
            <w:vAlign w:val="bottom"/>
          </w:tcPr>
          <w:p>
            <w:pPr>
              <w:pStyle w:val="TableContents"/>
              <w:bidi w:val="0"/>
              <w:spacing w:before="0" w:after="283"/>
              <w:jc w:val="left"/>
              <w:rPr/>
            </w:pPr>
            <w:r>
              <w:rPr/>
              <w:t>  </w:t>
            </w:r>
          </w:p>
        </w:tc>
        <w:tc>
          <w:tcPr>
            <w:tcW w:w="88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15.1</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w:anchor="d66194dex151.htm">
              <w:r>
                <w:rPr>
                  <w:rStyle w:val="InternetLink"/>
                </w:rPr>
                <w:t xml:space="preserve">Letter from Ernst &amp; Young LLP regarding Unaudited Interim Financial Information.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21.1*</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r:id="rId67">
              <w:r>
                <w:rPr>
                  <w:rStyle w:val="InternetLink"/>
                </w:rPr>
                <w:t xml:space="preserve">Subsidiaries of the Registrant.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23.1</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w:anchor="d66194dex231.htm">
              <w:r>
                <w:rPr>
                  <w:rStyle w:val="InternetLink"/>
                </w:rPr>
                <w:t xml:space="preserve">Consent of Ernst &amp; Young LLP.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23.2**</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r:id="rId68">
              <w:r>
                <w:rPr>
                  <w:rStyle w:val="InternetLink"/>
                </w:rPr>
                <w:t xml:space="preserve">Consent of Kirkland &amp; Ellis LLP (included in Exhibit 5.1 to this Registration Statement).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24.1*</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r>
              <w:fldChar w:fldCharType="begin"/>
            </w:r>
            <w:r>
              <w:rPr>
                <w:rStyle w:val="InternetLink"/>
              </w:rPr>
              <w:instrText xml:space="preserve"> HYPERLINK "http://www.sec.gov/Archives/edgar/data/1131227/000119312523290782/d365366ds1.htm" \l "sig"</w:instrText>
            </w:r>
            <w:r>
              <w:rPr>
                <w:rStyle w:val="InternetLink"/>
              </w:rPr>
              <w:fldChar w:fldCharType="separate"/>
            </w:r>
            <w:r>
              <w:rPr>
                <w:rStyle w:val="InternetLink"/>
              </w:rPr>
              <w:t>Powers of Attorney (included in the signature page of the initial filing of this Registration Statement).</w:t>
            </w:r>
            <w:r>
              <w:rPr>
                <w:rStyle w:val="InternetLink"/>
              </w:rPr>
              <w:fldChar w:fldCharType="end"/>
            </w:r>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24.2*</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r:id="rId69">
              <w:r>
                <w:rPr>
                  <w:rStyle w:val="InternetLink"/>
                </w:rPr>
                <w:t xml:space="preserve">Power of Attorney of James McConeghy. </w:t>
              </w:r>
            </w:hyperlink>
          </w:p>
        </w:tc>
      </w:tr>
      <w:tr>
        <w:trPr>
          <w:trHeight w:val="120" w:hRule="atLeast"/>
        </w:trPr>
        <w:tc>
          <w:tcPr>
            <w:tcW w:w="812" w:type="dxa"/>
            <w:tcBorders/>
            <w:vAlign w:val="center"/>
          </w:tcPr>
          <w:p>
            <w:pPr>
              <w:pStyle w:val="TableContents"/>
              <w:bidi w:val="0"/>
              <w:spacing w:before="0" w:after="283"/>
              <w:jc w:val="left"/>
              <w:rPr>
                <w:sz w:val="4"/>
                <w:szCs w:val="4"/>
              </w:rPr>
            </w:pPr>
            <w:r>
              <w:rPr>
                <w:sz w:val="4"/>
                <w:szCs w:val="4"/>
              </w:rPr>
            </w:r>
          </w:p>
        </w:tc>
        <w:tc>
          <w:tcPr>
            <w:tcW w:w="9393" w:type="dxa"/>
            <w:gridSpan w:val="2"/>
            <w:tcBorders/>
            <w:vAlign w:val="center"/>
          </w:tcPr>
          <w:p>
            <w:pPr>
              <w:pStyle w:val="TableContents"/>
              <w:bidi w:val="0"/>
              <w:spacing w:before="0" w:after="283"/>
              <w:jc w:val="left"/>
              <w:rPr>
                <w:sz w:val="4"/>
                <w:szCs w:val="4"/>
              </w:rPr>
            </w:pPr>
            <w:r>
              <w:rPr>
                <w:sz w:val="4"/>
                <w:szCs w:val="4"/>
              </w:rPr>
            </w:r>
          </w:p>
        </w:tc>
      </w:tr>
      <w:tr>
        <w:trPr/>
        <w:tc>
          <w:tcPr>
            <w:tcW w:w="812" w:type="dxa"/>
            <w:tcBorders/>
          </w:tcPr>
          <w:p>
            <w:pPr>
              <w:pStyle w:val="TableContents"/>
              <w:bidi w:val="0"/>
              <w:spacing w:before="0" w:after="283"/>
              <w:jc w:val="left"/>
              <w:rPr/>
            </w:pPr>
            <w:r>
              <w:rPr/>
              <w:t> </w:t>
            </w:r>
            <w:r>
              <w:rPr/>
              <w:t>107*</w:t>
            </w:r>
          </w:p>
        </w:tc>
        <w:tc>
          <w:tcPr>
            <w:tcW w:w="507" w:type="dxa"/>
            <w:tcBorders/>
            <w:vAlign w:val="bottom"/>
          </w:tcPr>
          <w:p>
            <w:pPr>
              <w:pStyle w:val="TableContents"/>
              <w:bidi w:val="0"/>
              <w:spacing w:before="0" w:after="283"/>
              <w:jc w:val="left"/>
              <w:rPr/>
            </w:pPr>
            <w:r>
              <w:rPr/>
              <w:t>  </w:t>
            </w:r>
          </w:p>
        </w:tc>
        <w:tc>
          <w:tcPr>
            <w:tcW w:w="8886" w:type="dxa"/>
            <w:tcBorders/>
          </w:tcPr>
          <w:p>
            <w:pPr>
              <w:pStyle w:val="TableContents"/>
              <w:bidi w:val="0"/>
              <w:spacing w:before="0" w:after="283"/>
              <w:jc w:val="left"/>
              <w:rPr/>
            </w:pPr>
            <w:hyperlink r:id="rId70">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included by amendment. </w:t>
            </w:r>
          </w:p>
        </w:tc>
      </w:tr>
    </w:tbl>
    <w:tbl>
      <w:tblPr>
        <w:tblW w:w="5000" w:type="pct"/>
        <w:jc w:val="left"/>
        <w:tblInd w:w="0" w:type="dxa"/>
        <w:tblLayout w:type="fixed"/>
        <w:tblCellMar>
          <w:top w:w="0" w:type="dxa"/>
          <w:left w:w="0" w:type="dxa"/>
          <w:bottom w:w="0" w:type="dxa"/>
          <w:right w:w="0" w:type="dxa"/>
        </w:tblCellMar>
      </w:tblPr>
      <w:tblGrid>
        <w:gridCol w:w="197"/>
        <w:gridCol w:w="10008"/>
      </w:tblGrid>
      <w:tr>
        <w:trPr/>
        <w:tc>
          <w:tcPr>
            <w:tcW w:w="197" w:type="dxa"/>
            <w:tcBorders/>
          </w:tcPr>
          <w:p>
            <w:pPr>
              <w:pStyle w:val="TableContents"/>
              <w:bidi w:val="0"/>
              <w:spacing w:before="0" w:after="283"/>
              <w:jc w:val="left"/>
              <w:rPr/>
            </w:pPr>
            <w:r>
              <w:rPr/>
              <w:t></w:t>
            </w:r>
          </w:p>
        </w:tc>
        <w:tc>
          <w:tcPr>
            <w:tcW w:w="1000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Compensatory plan or arrangement. </w:t>
            </w:r>
          </w:p>
        </w:tc>
      </w:tr>
    </w:tbl>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or schedules to this Exhibit have been omitted in accordance with Regulation S-K Item 601(a)(5). The registrant agrees to furnish a copy of all omitted exhibits and schedules to the Securities and Exchange Commission upon its request.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financial statement schedules are provided because the information called for is not applicable or is shown in the financial statements or notes.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8" w:name="ii66194_sig"/>
      <w:bookmarkEnd w:id="3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registration statement to be signed on its behalf by the undersigned, thereunto duly authorized, in St. Tammany Parish, Louisiana, on January 13,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HORNBECK OFFSHORE SERVICES, INC.</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9" w:type="dxa"/>
            <w:tcBorders>
              <w:bottom w:val="single" w:sz="2" w:space="0" w:color="000000"/>
            </w:tcBorders>
            <w:tcMar>
              <w:bottom w:w="28" w:type="dxa"/>
            </w:tcMar>
          </w:tcPr>
          <w:p>
            <w:pPr>
              <w:pStyle w:val="TableContents"/>
              <w:bidi w:val="0"/>
              <w:spacing w:before="0" w:after="283"/>
              <w:jc w:val="left"/>
              <w:rPr/>
            </w:pPr>
            <w:r>
              <w:rPr/>
              <w:t>/s/ Todd M. Hornbeck</w:t>
            </w:r>
          </w:p>
        </w:tc>
      </w:tr>
      <w:tr>
        <w:trPr/>
        <w:tc>
          <w:tcPr>
            <w:tcW w:w="4082" w:type="dxa"/>
            <w:gridSpan w:val="3"/>
            <w:tcBorders/>
          </w:tcPr>
          <w:p>
            <w:pPr>
              <w:pStyle w:val="TableContents"/>
              <w:bidi w:val="0"/>
              <w:spacing w:before="0" w:after="283"/>
              <w:jc w:val="left"/>
              <w:rPr>
                <w:sz w:val="20"/>
              </w:rPr>
            </w:pPr>
            <w:r>
              <w:rPr>
                <w:sz w:val="20"/>
              </w:rPr>
              <w:t>Name: Todd M. Hornbeck</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Title:  Chairman of the Board, 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and power of attorney have been signed by the following persons in the capacities indicated on January 13,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4"/>
        <w:gridCol w:w="4797"/>
      </w:tblGrid>
      <w:tr>
        <w:trPr/>
        <w:tc>
          <w:tcPr>
            <w:tcW w:w="5204"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4" w:type="dxa"/>
            <w:tcBorders/>
            <w:vAlign w:val="bottom"/>
          </w:tcPr>
          <w:p>
            <w:pPr>
              <w:pStyle w:val="TableContents"/>
              <w:bidi w:val="0"/>
              <w:spacing w:before="0" w:after="283"/>
              <w:jc w:val="left"/>
              <w:rPr/>
            </w:pPr>
            <w:r>
              <w:rPr/>
              <w:t>  </w:t>
            </w:r>
          </w:p>
        </w:tc>
        <w:tc>
          <w:tcPr>
            <w:tcW w:w="479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Capacity</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Todd M. Hornbeck</w:t>
            </w:r>
          </w:p>
          <w:p>
            <w:pPr>
              <w:pStyle w:val="TableContents"/>
              <w:bidi w:val="0"/>
              <w:spacing w:before="0" w:after="20"/>
              <w:jc w:val="left"/>
              <w:rPr>
                <w:rFonts w:ascii="Times New Roman" w:hAnsi="Times New Roman"/>
                <w:sz w:val="20"/>
              </w:rPr>
            </w:pPr>
            <w:r>
              <w:rPr>
                <w:rFonts w:ascii="Times New Roman" w:hAnsi="Times New Roman"/>
                <w:sz w:val="20"/>
              </w:rPr>
              <w:t>Todd M. Hornbeck</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Chairman of the Board, President and Chief Executive Officer (Principal Executive Officer)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James O. Harp, Jr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Executive Vice President and Chief Financial Officer (Principal Financial and Accounting Officer)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Kurt M. Cellar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Lead Independent 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Evan Behrens</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Bobby Jindal</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Sylvia Jo Sydow Kerrigan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James McConeghy</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Jacob Mercer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L. Don Miller</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r>
        <w:trPr>
          <w:trHeight w:val="195"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Aaron Rosen</w:t>
            </w:r>
          </w:p>
        </w:tc>
        <w:tc>
          <w:tcPr>
            <w:tcW w:w="204"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17"/>
        <w:gridCol w:w="60"/>
        <w:gridCol w:w="3405"/>
      </w:tblGrid>
      <w:tr>
        <w:trPr/>
        <w:tc>
          <w:tcPr>
            <w:tcW w:w="61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Todd M. Hornbeck</w:t>
            </w:r>
          </w:p>
        </w:tc>
      </w:tr>
      <w:tr>
        <w:trPr/>
        <w:tc>
          <w:tcPr>
            <w:tcW w:w="6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283"/>
              <w:jc w:val="left"/>
              <w:rPr/>
            </w:pPr>
            <w:r>
              <w:rPr/>
              <w:t>Todd M. Hornbeck</w:t>
            </w:r>
          </w:p>
        </w:tc>
      </w:tr>
      <w:tr>
        <w:trPr/>
        <w:tc>
          <w:tcPr>
            <w:tcW w:w="61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05"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39" w:name="d66194dex104.htm"/>
      <w:bookmarkStart w:id="40" w:name="ksd66194dex104"/>
      <w:bookmarkEnd w:id="39"/>
      <w:bookmarkEnd w:id="40"/>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HORNBECK OFFSHORE SERVICES,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2026 OMNIBUS INCENTIVE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The purpose of this Hornbeck Offshore Services, Inc. 2026 Omnibus Incentive Plan (this “</w:t>
      </w:r>
      <w:r>
        <w:rPr>
          <w:rFonts w:ascii="Times New Roman" w:hAnsi="Times New Roman"/>
          <w:b/>
          <w:sz w:val="20"/>
          <w:u w:val="single"/>
        </w:rPr>
        <w:t>Plan</w:t>
      </w:r>
      <w:r>
        <w:rPr>
          <w:rFonts w:ascii="Times New Roman" w:hAnsi="Times New Roman"/>
          <w:sz w:val="20"/>
        </w:rPr>
        <w:t xml:space="preserve">”) is to promote the success of the Company’s business for the benefit of its stockholders by enabling the Company to offer Eligible Individuals cash and stock-based incentives in order to attract, retain, and reward such individuals and strengthen the mutuality of interests between such individuals and the Company’s stockholders. This Plan is effective as of the date set forth in Article XIV.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Plan,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w:t>
      </w:r>
      <w:r>
        <w:rPr>
          <w:rFonts w:ascii="Times New Roman" w:hAnsi="Times New Roman"/>
          <w:b/>
          <w:sz w:val="20"/>
          <w:u w:val="single"/>
        </w:rPr>
        <w:t>Affiliate</w:t>
      </w:r>
      <w:r>
        <w:rPr>
          <w:rFonts w:ascii="Times New Roman" w:hAnsi="Times New Roman"/>
          <w:sz w:val="20"/>
        </w:rPr>
        <w:t xml:space="preserve">” means a corporation or other entity controlled by, controlling, or under common control with the Company. The term “control” (including, with correlative meaning, the terms “controlled by” and “under common control with”), as applied to any Person, means the possession, directly or indirectly, of the power to direct or cause the direction of management and policies of such Person, whether through the ownership of voting or other securities, by contract or otherwise.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w:t>
      </w:r>
      <w:r>
        <w:rPr>
          <w:rFonts w:ascii="Times New Roman" w:hAnsi="Times New Roman"/>
          <w:b/>
          <w:sz w:val="20"/>
          <w:u w:val="single"/>
        </w:rPr>
        <w:t>Applicable Law</w:t>
      </w:r>
      <w:r>
        <w:rPr>
          <w:rFonts w:ascii="Times New Roman" w:hAnsi="Times New Roman"/>
          <w:sz w:val="20"/>
        </w:rPr>
        <w:t xml:space="preserve">” means the requirements relating to the administration of equity-based awards and the related shares under U.S. state corporate law, U.S. federal and state securities laws, the rules or requirements of any stock exchange or quotation system on which the shares are listed or quoted, and any other applicable laws, including tax laws, of any U.S. or non-U.S. jurisdictions where Awards are, or will be, granted under this Plan.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w:t>
      </w:r>
      <w:r>
        <w:rPr>
          <w:rFonts w:ascii="Times New Roman" w:hAnsi="Times New Roman"/>
          <w:b/>
          <w:sz w:val="20"/>
          <w:u w:val="single"/>
        </w:rPr>
        <w:t>Award</w:t>
      </w:r>
      <w:r>
        <w:rPr>
          <w:rFonts w:ascii="Times New Roman" w:hAnsi="Times New Roman"/>
          <w:sz w:val="20"/>
        </w:rPr>
        <w:t xml:space="preserve">” means any award under this Plan of any Stock Option, Stock Appreciation Right, Restricted Stock, Restricted Stock Units, Performance Award, Other Stock-Based Award, or Cash Award. All Awards shall be evidenced by and subject to the terms of an Award Agreement.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w:t>
      </w:r>
      <w:r>
        <w:rPr>
          <w:rFonts w:ascii="Times New Roman" w:hAnsi="Times New Roman"/>
          <w:b/>
          <w:sz w:val="20"/>
          <w:u w:val="single"/>
        </w:rPr>
        <w:t>Award Agreement</w:t>
      </w:r>
      <w:r>
        <w:rPr>
          <w:rFonts w:ascii="Times New Roman" w:hAnsi="Times New Roman"/>
          <w:sz w:val="20"/>
        </w:rPr>
        <w:t xml:space="preserve">” means the written or electronic agreement, contract, certificate, or other instrument or document evidencing the terms and conditions of an individual Award. Each Award Agreement shall be subject to the terms and conditions of this Plan.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w:t>
      </w:r>
      <w:r>
        <w:rPr>
          <w:rFonts w:ascii="Times New Roman" w:hAnsi="Times New Roman"/>
          <w:b/>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w:t>
      </w:r>
      <w:r>
        <w:rPr>
          <w:rFonts w:ascii="Times New Roman" w:hAnsi="Times New Roman"/>
          <w:b/>
          <w:sz w:val="20"/>
          <w:u w:val="single"/>
        </w:rPr>
        <w:t>Cash Award</w:t>
      </w:r>
      <w:r>
        <w:rPr>
          <w:rFonts w:ascii="Times New Roman" w:hAnsi="Times New Roman"/>
          <w:sz w:val="20"/>
        </w:rPr>
        <w:t xml:space="preserve">” means an Award granted to an Eligible Individual pursuant to Section 9.3 and payable in cash at such time or times and subject to such terms and conditions as determined by the Committee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2.7</w:t>
      </w:r>
      <w:r>
        <w:rPr>
          <w:rFonts w:ascii="Times New Roman" w:hAnsi="Times New Roman"/>
          <w:sz w:val="20"/>
        </w:rPr>
        <w:t> “</w:t>
      </w:r>
      <w:r>
        <w:rPr>
          <w:rFonts w:ascii="Times New Roman" w:hAnsi="Times New Roman"/>
          <w:b/>
          <w:sz w:val="20"/>
          <w:u w:val="single"/>
        </w:rPr>
        <w:t>Cause</w:t>
      </w:r>
      <w:r>
        <w:rPr>
          <w:rFonts w:ascii="Times New Roman" w:hAnsi="Times New Roman"/>
          <w:sz w:val="20"/>
        </w:rPr>
        <w:t xml:space="preserve">” means, unless otherwise determined by the Committee in the applicable Award Agreement, with respect to a Participant’s Termination of Service, the following: (a) in the case where there is no employment agreement, offer letter, consulting agreement, change in control agreement, or similar agreement in effect between the Company or an Affiliate and the Participant at the time of the grant of the Award (or where there is such agreement in effect but it does not define “cause” (or words of like import)), the Participant’s (i) commission of, or plea of guilty or no contest to, a felony or a crime involving moral turpitude or the commission of any other act involving embezzlement, fraud, material dishonesty, willful malfeasance or material fiduciary breach with respect to the Company or an Affiliate; (ii) substantial and repeated failure to perform duties as reasonably directed by the person to whom the Participant reports; (iii) conduct that brings or is reasonably likely to bring the Company or an Affiliate negative publicity or into public disgrace, embarrassment, or disrepute; (iv) gross negligence or willful misconduct with respect to the Company or an Affiliate; (v) material violation of the Company’s policies or codes of conduct, including policies related to discrimination, harassment, performance of illegal or unethical activities, or ethical misconduct; (vi) failure to cooperate with a bona fide internal investigation or an investigation by regulatory or law enforcement authorities, after being instructed by the Company or an Affiliate to cooperate, or willful destruction of or failure to preserve documents or other materials known to be relevant to such investigation or inducement of others to fail to cooperate or to produce documents or other materials in connection with such investigation; or (vii) any breach of any non-competition, non-solicitation, no-hire, or confidentiality covenant or any other restrictive covenant between the Participant and the Company or an Affiliate; or (b) in the case where there is an employment agreement, offer letter, consulting agreement, change in control agreement, or similar agreement in effect between the Company or an Affiliate and the Participant at the time of the grant of the Award that defines “cause” (or words of like import), “cause” as defined under such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 regard to any agreement under which the definition of “cause” only applies on occurrence of a change in control, such definition of “cause” shall not apply until a change in control (as defined in such agreement) actually takes place and then only with regard to a termination thereafter. </w:t>
      </w:r>
    </w:p>
    <w:p>
      <w:pPr>
        <w:pStyle w:val="TextBody"/>
        <w:bidi w:val="0"/>
        <w:spacing w:before="240" w:after="0"/>
        <w:jc w:val="left"/>
        <w:rPr>
          <w:rFonts w:ascii="Times New Roman" w:hAnsi="Times New Roman"/>
          <w:sz w:val="20"/>
        </w:rPr>
      </w:pPr>
      <w:r>
        <w:rPr>
          <w:rFonts w:ascii="Times New Roman" w:hAnsi="Times New Roman"/>
          <w:b/>
          <w:sz w:val="20"/>
        </w:rPr>
        <w:t>2.8</w:t>
      </w:r>
      <w:r>
        <w:rPr>
          <w:rFonts w:ascii="Times New Roman" w:hAnsi="Times New Roman"/>
          <w:sz w:val="20"/>
        </w:rPr>
        <w:t> “</w:t>
      </w:r>
      <w:r>
        <w:rPr>
          <w:rFonts w:ascii="Times New Roman" w:hAnsi="Times New Roman"/>
          <w:b/>
          <w:sz w:val="20"/>
          <w:u w:val="single"/>
        </w:rPr>
        <w:t>Change in Control</w:t>
      </w:r>
      <w:r>
        <w:rPr>
          <w:rFonts w:ascii="Times New Roman" w:hAnsi="Times New Roman"/>
          <w:sz w:val="20"/>
        </w:rPr>
        <w:t xml:space="preserve">” means and includes each of the following, unless otherwise determined by the Committee in the applicable Award Agreement or other written agreement with a Participant approved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(a) any Person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50% or more of the combined voting power of the Company’s then outstanding securities, excluding for purposes herein, acquisitions pursuant to a Business Combination (as defined below) that does not constitute a Change in Control as defined in Section 2.8(b); </w:t>
      </w:r>
    </w:p>
    <w:p>
      <w:pPr>
        <w:pStyle w:val="TextBody"/>
        <w:bidi w:val="0"/>
        <w:spacing w:before="240" w:after="0"/>
        <w:jc w:val="left"/>
        <w:rPr>
          <w:rFonts w:ascii="Times New Roman" w:hAnsi="Times New Roman"/>
          <w:sz w:val="20"/>
        </w:rPr>
      </w:pPr>
      <w:r>
        <w:rPr>
          <w:rFonts w:ascii="Times New Roman" w:hAnsi="Times New Roman"/>
          <w:sz w:val="20"/>
        </w:rPr>
        <w:t>(b) a merger, reorganization, or consolidation of the Company or in which equity securities of the Company are issued (each, a “</w:t>
      </w:r>
      <w:r>
        <w:rPr>
          <w:rFonts w:ascii="Times New Roman" w:hAnsi="Times New Roman"/>
          <w:b/>
          <w:sz w:val="20"/>
          <w:u w:val="single"/>
        </w:rPr>
        <w:t>Business Combination</w:t>
      </w:r>
      <w:r>
        <w:rPr>
          <w:rFonts w:ascii="Times New Roman" w:hAnsi="Times New Roman"/>
          <w:sz w:val="20"/>
        </w:rPr>
        <w:t xml:space="preserve">”),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50% of the combined voting power of the voting securities of the Company or such surviving entity (or, as applicable, a direct or indirect parent of the Company or such surviving entity) outstanding immediately after such merger, reorganization or consolidation; </w:t>
      </w:r>
      <w:r>
        <w:rPr>
          <w:rFonts w:ascii="Times New Roman" w:hAnsi="Times New Roman"/>
          <w:i/>
          <w:sz w:val="20"/>
        </w:rPr>
        <w:t>provided, however</w:t>
      </w:r>
      <w:r>
        <w:rPr>
          <w:rFonts w:ascii="Times New Roman" w:hAnsi="Times New Roman"/>
          <w:sz w:val="20"/>
        </w:rPr>
        <w:t xml:space="preserve">, that a merger, reorganization or consolidation effected to implement a recapitalization of the Company (or similar transaction) in which no Person (other than those covered by the exceptions in Section 2.8(a)) acquires more than 50% of the combined voting power of the Company’s then outstanding securities shall not constitute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(c) during the period of two consecutive years, individuals who, at the beginning of such period, constitute the Board together with any new director(s) (other than a director designated by a Person who has entered into an agreement with the Company to effect a transaction described in Sections 2.8(a) or (b))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p>
      <w:pPr>
        <w:pStyle w:val="TextBody"/>
        <w:bidi w:val="0"/>
        <w:spacing w:before="240" w:after="0"/>
        <w:jc w:val="left"/>
        <w:rPr>
          <w:rFonts w:ascii="Times New Roman" w:hAnsi="Times New Roman"/>
          <w:sz w:val="20"/>
        </w:rPr>
      </w:pPr>
      <w:r>
        <w:rPr>
          <w:rFonts w:ascii="Times New Roman" w:hAnsi="Times New Roman"/>
          <w:sz w:val="20"/>
        </w:rPr>
        <w:t xml:space="preserve">(d) a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w:t>
      </w:r>
    </w:p>
    <w:p>
      <w:pPr>
        <w:pStyle w:val="TextBody"/>
        <w:bidi w:val="0"/>
        <w:spacing w:before="240" w:after="0"/>
        <w:jc w:val="left"/>
        <w:rPr>
          <w:rFonts w:ascii="Times New Roman" w:hAnsi="Times New Roman"/>
          <w:sz w:val="20"/>
        </w:rPr>
      </w:pPr>
      <w:r>
        <w:rPr>
          <w:rFonts w:ascii="Times New Roman" w:hAnsi="Times New Roman"/>
          <w:sz w:val="20"/>
        </w:rPr>
        <w:t>For purposes of this Section 2.8, acquisitions of securities of the Company by Ares Management Corporation, Whitebox Advisors LLC or Highbridge Capital Management, LLC (collectively, the “</w:t>
      </w:r>
      <w:r>
        <w:rPr>
          <w:rFonts w:ascii="Times New Roman" w:hAnsi="Times New Roman"/>
          <w:b/>
          <w:sz w:val="20"/>
          <w:u w:val="single"/>
        </w:rPr>
        <w:t>Specified Investors</w:t>
      </w:r>
      <w:r>
        <w:rPr>
          <w:rFonts w:ascii="Times New Roman" w:hAnsi="Times New Roman"/>
          <w:sz w:val="20"/>
        </w:rPr>
        <w:t xml:space="preserve">”), any of their respective affiliates, or any investment vehicle or fund controlled by or managed by, or otherwise affiliated with any of the Specified Investors shall not constitute a Change in Control. Notwithstanding the foregoing, with respect to any Award that is characterized as “nonqualified deferred compensation” within the meaning of Section 409A of the Code, an event shall not be considered to be a Change in Control under this Plan for purposes of payment of such Award unless such event is also a “change in ownership,” a “change in effective control,” or a “change in the ownership of a substantial portion of the assets” of the Company within the meaning of Section 409A of the Code. </w:t>
      </w:r>
    </w:p>
    <w:p>
      <w:pPr>
        <w:pStyle w:val="TextBody"/>
        <w:bidi w:val="0"/>
        <w:spacing w:before="240" w:after="0"/>
        <w:jc w:val="left"/>
        <w:rPr>
          <w:rFonts w:ascii="Times New Roman" w:hAnsi="Times New Roman"/>
          <w:sz w:val="20"/>
        </w:rPr>
      </w:pPr>
      <w:r>
        <w:rPr>
          <w:rFonts w:ascii="Times New Roman" w:hAnsi="Times New Roman"/>
          <w:b/>
          <w:sz w:val="20"/>
        </w:rPr>
        <w:t>2.9</w:t>
      </w:r>
      <w:r>
        <w:rPr>
          <w:rFonts w:ascii="Times New Roman" w:hAnsi="Times New Roman"/>
          <w:sz w:val="20"/>
        </w:rPr>
        <w:t> “</w:t>
      </w:r>
      <w:r>
        <w:rPr>
          <w:rFonts w:ascii="Times New Roman" w:hAnsi="Times New Roman"/>
          <w:b/>
          <w:sz w:val="20"/>
          <w:u w:val="single"/>
        </w:rPr>
        <w:t>Change in Control Price</w:t>
      </w:r>
      <w:r>
        <w:rPr>
          <w:rFonts w:ascii="Times New Roman" w:hAnsi="Times New Roman"/>
          <w:sz w:val="20"/>
        </w:rPr>
        <w:t xml:space="preserve">” means the highest price per Share paid in any transaction related to a Change in Control as determined by the Committee in its discretion. </w:t>
      </w:r>
    </w:p>
    <w:p>
      <w:pPr>
        <w:pStyle w:val="TextBody"/>
        <w:bidi w:val="0"/>
        <w:spacing w:before="240" w:after="0"/>
        <w:jc w:val="left"/>
        <w:rPr>
          <w:rFonts w:ascii="Times New Roman" w:hAnsi="Times New Roman"/>
          <w:sz w:val="20"/>
        </w:rPr>
      </w:pPr>
      <w:r>
        <w:rPr>
          <w:rFonts w:ascii="Times New Roman" w:hAnsi="Times New Roman"/>
          <w:b/>
          <w:sz w:val="20"/>
        </w:rPr>
        <w:t>2.10</w:t>
      </w:r>
      <w:r>
        <w:rPr>
          <w:rFonts w:ascii="Times New Roman" w:hAnsi="Times New Roman"/>
          <w:sz w:val="20"/>
        </w:rPr>
        <w:t> “</w:t>
      </w:r>
      <w:r>
        <w:rPr>
          <w:rFonts w:ascii="Times New Roman" w:hAnsi="Times New Roman"/>
          <w:b/>
          <w:sz w:val="20"/>
          <w:u w:val="single"/>
        </w:rPr>
        <w:t>Code</w:t>
      </w:r>
      <w:r>
        <w:rPr>
          <w:rFonts w:ascii="Times New Roman" w:hAnsi="Times New Roman"/>
          <w:sz w:val="20"/>
        </w:rPr>
        <w:t xml:space="preserve">” means the U.S. Internal Revenue Code of 1986, as amended from time to time. Any reference to any section of the Code shall also be a reference to any successor provision and any guidance and treasury regulation promulgated thereunder. </w:t>
      </w:r>
    </w:p>
    <w:p>
      <w:pPr>
        <w:pStyle w:val="TextBody"/>
        <w:bidi w:val="0"/>
        <w:spacing w:before="240" w:after="0"/>
        <w:jc w:val="left"/>
        <w:rPr>
          <w:rFonts w:ascii="Times New Roman" w:hAnsi="Times New Roman"/>
          <w:sz w:val="20"/>
        </w:rPr>
      </w:pPr>
      <w:r>
        <w:rPr>
          <w:rFonts w:ascii="Times New Roman" w:hAnsi="Times New Roman"/>
          <w:b/>
          <w:sz w:val="20"/>
        </w:rPr>
        <w:t>2.11</w:t>
      </w:r>
      <w:r>
        <w:rPr>
          <w:rFonts w:ascii="Times New Roman" w:hAnsi="Times New Roman"/>
          <w:sz w:val="20"/>
        </w:rPr>
        <w:t> “</w:t>
      </w:r>
      <w:r>
        <w:rPr>
          <w:rFonts w:ascii="Times New Roman" w:hAnsi="Times New Roman"/>
          <w:b/>
          <w:sz w:val="20"/>
          <w:u w:val="single"/>
        </w:rPr>
        <w:t>Committee</w:t>
      </w:r>
      <w:r>
        <w:rPr>
          <w:rFonts w:ascii="Times New Roman" w:hAnsi="Times New Roman"/>
          <w:sz w:val="20"/>
        </w:rPr>
        <w:t xml:space="preserve">” means any committee of the Board duly authorized by the Board to administer this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otherwise determined by the Board, the Committee shall consist solely of two or more members of the Board who are each (a) a “non-employee director” within the meaning of Rule 16b-3(b), and (b) “independent” under the listing standards or rules of the securities exchange upon which the Common Stock is traded, but only to the extent such independence is required in order to take the action at issue pursuant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standards or rules. If no committee is duly authorized by the Board to administer this Plan, the term “Committee” shall be deemed to refer to the Board for all purposes under this Plan. The Board may abolish any Committee or re-vest in itself any previously delegated authority from time to time, and will retain the right to exercise the authority of the Committee to the extent consistent with Applicable Law. </w:t>
      </w:r>
    </w:p>
    <w:p>
      <w:pPr>
        <w:pStyle w:val="TextBody"/>
        <w:bidi w:val="0"/>
        <w:spacing w:before="240" w:after="0"/>
        <w:jc w:val="left"/>
        <w:rPr>
          <w:rFonts w:ascii="Times New Roman" w:hAnsi="Times New Roman"/>
          <w:sz w:val="20"/>
        </w:rPr>
      </w:pPr>
      <w:r>
        <w:rPr>
          <w:rFonts w:ascii="Times New Roman" w:hAnsi="Times New Roman"/>
          <w:b/>
          <w:sz w:val="20"/>
        </w:rPr>
        <w:t>2.12</w:t>
      </w:r>
      <w:r>
        <w:rPr>
          <w:rFonts w:ascii="Times New Roman" w:hAnsi="Times New Roman"/>
          <w:sz w:val="20"/>
        </w:rPr>
        <w:t> “</w:t>
      </w:r>
      <w:r>
        <w:rPr>
          <w:rFonts w:ascii="Times New Roman" w:hAnsi="Times New Roman"/>
          <w:b/>
          <w:sz w:val="20"/>
          <w:u w:val="single"/>
        </w:rPr>
        <w:t>Common Stock</w:t>
      </w:r>
      <w:r>
        <w:rPr>
          <w:rFonts w:ascii="Times New Roman" w:hAnsi="Times New Roman"/>
          <w:sz w:val="20"/>
        </w:rPr>
        <w:t xml:space="preserve">” means the common stock, par value $0.00001 per share, of the Company. </w:t>
      </w:r>
    </w:p>
    <w:p>
      <w:pPr>
        <w:pStyle w:val="TextBody"/>
        <w:bidi w:val="0"/>
        <w:spacing w:before="240" w:after="0"/>
        <w:jc w:val="left"/>
        <w:rPr>
          <w:rFonts w:ascii="Times New Roman" w:hAnsi="Times New Roman"/>
          <w:sz w:val="20"/>
        </w:rPr>
      </w:pPr>
      <w:r>
        <w:rPr>
          <w:rFonts w:ascii="Times New Roman" w:hAnsi="Times New Roman"/>
          <w:b/>
          <w:sz w:val="20"/>
        </w:rPr>
        <w:t>2.13</w:t>
      </w:r>
      <w:r>
        <w:rPr>
          <w:rFonts w:ascii="Times New Roman" w:hAnsi="Times New Roman"/>
          <w:sz w:val="20"/>
        </w:rPr>
        <w:t> “</w:t>
      </w:r>
      <w:r>
        <w:rPr>
          <w:rFonts w:ascii="Times New Roman" w:hAnsi="Times New Roman"/>
          <w:b/>
          <w:sz w:val="20"/>
          <w:u w:val="single"/>
        </w:rPr>
        <w:t>Company</w:t>
      </w:r>
      <w:r>
        <w:rPr>
          <w:rFonts w:ascii="Times New Roman" w:hAnsi="Times New Roman"/>
          <w:sz w:val="20"/>
        </w:rPr>
        <w:t xml:space="preserve">” means Hornbeck Offshore Services, Inc., a Delaware corporation, and its successors by operation of law. </w:t>
      </w:r>
    </w:p>
    <w:p>
      <w:pPr>
        <w:pStyle w:val="TextBody"/>
        <w:bidi w:val="0"/>
        <w:spacing w:before="240" w:after="0"/>
        <w:jc w:val="left"/>
        <w:rPr>
          <w:rFonts w:ascii="Times New Roman" w:hAnsi="Times New Roman"/>
          <w:sz w:val="20"/>
        </w:rPr>
      </w:pPr>
      <w:r>
        <w:rPr>
          <w:rFonts w:ascii="Times New Roman" w:hAnsi="Times New Roman"/>
          <w:b/>
          <w:sz w:val="20"/>
        </w:rPr>
        <w:t>2.14</w:t>
      </w:r>
      <w:r>
        <w:rPr>
          <w:rFonts w:ascii="Times New Roman" w:hAnsi="Times New Roman"/>
          <w:sz w:val="20"/>
        </w:rPr>
        <w:t> “</w:t>
      </w:r>
      <w:r>
        <w:rPr>
          <w:rFonts w:ascii="Times New Roman" w:hAnsi="Times New Roman"/>
          <w:b/>
          <w:sz w:val="20"/>
          <w:u w:val="single"/>
        </w:rPr>
        <w:t>Consultant</w:t>
      </w:r>
      <w:r>
        <w:rPr>
          <w:rFonts w:ascii="Times New Roman" w:hAnsi="Times New Roman"/>
          <w:sz w:val="20"/>
        </w:rPr>
        <w:t xml:space="preserve">” means any natural person who is an advisor or consultant or other service provider to the Company or any of its Affiliates. </w:t>
      </w:r>
    </w:p>
    <w:p>
      <w:pPr>
        <w:pStyle w:val="TextBody"/>
        <w:bidi w:val="0"/>
        <w:spacing w:before="240" w:after="0"/>
        <w:jc w:val="left"/>
        <w:rPr>
          <w:rFonts w:ascii="Times New Roman" w:hAnsi="Times New Roman"/>
          <w:sz w:val="20"/>
        </w:rPr>
      </w:pPr>
      <w:r>
        <w:rPr>
          <w:rFonts w:ascii="Times New Roman" w:hAnsi="Times New Roman"/>
          <w:b/>
          <w:sz w:val="20"/>
        </w:rPr>
        <w:t>2.15</w:t>
      </w:r>
      <w:r>
        <w:rPr>
          <w:rFonts w:ascii="Times New Roman" w:hAnsi="Times New Roman"/>
          <w:sz w:val="20"/>
        </w:rPr>
        <w:t> “</w:t>
      </w:r>
      <w:r>
        <w:rPr>
          <w:rFonts w:ascii="Times New Roman" w:hAnsi="Times New Roman"/>
          <w:b/>
          <w:sz w:val="20"/>
          <w:u w:val="single"/>
        </w:rPr>
        <w:t>Disability</w:t>
      </w:r>
      <w:r>
        <w:rPr>
          <w:rFonts w:ascii="Times New Roman" w:hAnsi="Times New Roman"/>
          <w:sz w:val="20"/>
        </w:rPr>
        <w:t xml:space="preserve">” means, unless otherwise determined by the Committee in the applicable Award Agreement, with respect to a Participant’s Termination of Service, that the Participant is unable to engage in any substantial gainful activity by reason of any medically determinable physical or mental impairment, after accounting for reasonable accommodations (if applicable and required by Applicable Law); </w:t>
      </w:r>
      <w:r>
        <w:rPr>
          <w:rFonts w:ascii="Times New Roman" w:hAnsi="Times New Roman"/>
          <w:i/>
          <w:sz w:val="20"/>
        </w:rPr>
        <w:t>provided, however</w:t>
      </w:r>
      <w:r>
        <w:rPr>
          <w:rFonts w:ascii="Times New Roman" w:hAnsi="Times New Roman"/>
          <w:sz w:val="20"/>
        </w:rPr>
        <w:t xml:space="preserve">,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2.16</w:t>
      </w:r>
      <w:r>
        <w:rPr>
          <w:rFonts w:ascii="Times New Roman" w:hAnsi="Times New Roman"/>
          <w:sz w:val="20"/>
        </w:rPr>
        <w:t> “</w:t>
      </w:r>
      <w:r>
        <w:rPr>
          <w:rFonts w:ascii="Times New Roman" w:hAnsi="Times New Roman"/>
          <w:b/>
          <w:sz w:val="20"/>
          <w:u w:val="single"/>
        </w:rPr>
        <w:t>Dividend Equivalent Rights</w:t>
      </w:r>
      <w:r>
        <w:rPr>
          <w:rFonts w:ascii="Times New Roman" w:hAnsi="Times New Roman"/>
          <w:sz w:val="20"/>
        </w:rPr>
        <w:t xml:space="preserve">” means a right granted to a Participant under this Plan to receive the equivalent value (in cash or Shares) of dividends paid on Shares. </w:t>
      </w:r>
    </w:p>
    <w:p>
      <w:pPr>
        <w:pStyle w:val="TextBody"/>
        <w:bidi w:val="0"/>
        <w:spacing w:before="240" w:after="0"/>
        <w:jc w:val="left"/>
        <w:rPr>
          <w:rFonts w:ascii="Times New Roman" w:hAnsi="Times New Roman"/>
          <w:sz w:val="20"/>
        </w:rPr>
      </w:pPr>
      <w:r>
        <w:rPr>
          <w:rFonts w:ascii="Times New Roman" w:hAnsi="Times New Roman"/>
          <w:b/>
          <w:sz w:val="20"/>
        </w:rPr>
        <w:t>2.17</w:t>
      </w:r>
      <w:r>
        <w:rPr>
          <w:rFonts w:ascii="Times New Roman" w:hAnsi="Times New Roman"/>
          <w:sz w:val="20"/>
        </w:rPr>
        <w:t> “</w:t>
      </w:r>
      <w:r>
        <w:rPr>
          <w:rFonts w:ascii="Times New Roman" w:hAnsi="Times New Roman"/>
          <w:b/>
          <w:sz w:val="20"/>
          <w:u w:val="single"/>
        </w:rPr>
        <w:t>Effective Date</w:t>
      </w:r>
      <w:r>
        <w:rPr>
          <w:rFonts w:ascii="Times New Roman" w:hAnsi="Times New Roman"/>
          <w:sz w:val="20"/>
        </w:rPr>
        <w:t xml:space="preserve">” means the effective date of this Plan as defined in Article XIV. </w:t>
      </w:r>
    </w:p>
    <w:p>
      <w:pPr>
        <w:pStyle w:val="TextBody"/>
        <w:bidi w:val="0"/>
        <w:spacing w:before="240" w:after="0"/>
        <w:jc w:val="left"/>
        <w:rPr>
          <w:rFonts w:ascii="Times New Roman" w:hAnsi="Times New Roman"/>
          <w:sz w:val="20"/>
        </w:rPr>
      </w:pPr>
      <w:r>
        <w:rPr>
          <w:rFonts w:ascii="Times New Roman" w:hAnsi="Times New Roman"/>
          <w:b/>
          <w:sz w:val="20"/>
        </w:rPr>
        <w:t>2.18</w:t>
      </w:r>
      <w:r>
        <w:rPr>
          <w:rFonts w:ascii="Times New Roman" w:hAnsi="Times New Roman"/>
          <w:sz w:val="20"/>
        </w:rPr>
        <w:t> “</w:t>
      </w:r>
      <w:r>
        <w:rPr>
          <w:rFonts w:ascii="Times New Roman" w:hAnsi="Times New Roman"/>
          <w:b/>
          <w:sz w:val="20"/>
          <w:u w:val="single"/>
        </w:rPr>
        <w:t>Eligible Employee</w:t>
      </w:r>
      <w:r>
        <w:rPr>
          <w:rFonts w:ascii="Times New Roman" w:hAnsi="Times New Roman"/>
          <w:sz w:val="20"/>
        </w:rPr>
        <w:t xml:space="preserve">” means each employee of the Company or any of its Affiliates. An employee on a leave of absence may be an Eligible Employee. </w:t>
      </w:r>
    </w:p>
    <w:p>
      <w:pPr>
        <w:pStyle w:val="TextBody"/>
        <w:bidi w:val="0"/>
        <w:spacing w:before="240" w:after="0"/>
        <w:jc w:val="left"/>
        <w:rPr>
          <w:rFonts w:ascii="Times New Roman" w:hAnsi="Times New Roman"/>
          <w:sz w:val="20"/>
        </w:rPr>
      </w:pPr>
      <w:r>
        <w:rPr>
          <w:rFonts w:ascii="Times New Roman" w:hAnsi="Times New Roman"/>
          <w:b/>
          <w:sz w:val="20"/>
        </w:rPr>
        <w:t>2.19</w:t>
      </w:r>
      <w:r>
        <w:rPr>
          <w:rFonts w:ascii="Times New Roman" w:hAnsi="Times New Roman"/>
          <w:sz w:val="20"/>
        </w:rPr>
        <w:t> “</w:t>
      </w:r>
      <w:r>
        <w:rPr>
          <w:rFonts w:ascii="Times New Roman" w:hAnsi="Times New Roman"/>
          <w:b/>
          <w:sz w:val="20"/>
          <w:u w:val="single"/>
        </w:rPr>
        <w:t>Eligible Individual</w:t>
      </w:r>
      <w:r>
        <w:rPr>
          <w:rFonts w:ascii="Times New Roman" w:hAnsi="Times New Roman"/>
          <w:sz w:val="20"/>
        </w:rPr>
        <w:t xml:space="preserve">” means an Eligible Employee, Non-Employee Director, or Consultant who is designated by the Committee in its discretion as eligible to receive Awards subject to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2.20</w:t>
      </w:r>
      <w:r>
        <w:rPr>
          <w:rFonts w:ascii="Times New Roman" w:hAnsi="Times New Roman"/>
          <w:sz w:val="20"/>
        </w:rPr>
        <w:t> “</w:t>
      </w:r>
      <w:r>
        <w:rPr>
          <w:rFonts w:ascii="Times New Roman" w:hAnsi="Times New Roman"/>
          <w:b/>
          <w:sz w:val="20"/>
          <w:u w:val="single"/>
        </w:rPr>
        <w:t>Exchange Act</w:t>
      </w:r>
      <w:r>
        <w:rPr>
          <w:rFonts w:ascii="Times New Roman" w:hAnsi="Times New Roman"/>
          <w:sz w:val="20"/>
        </w:rPr>
        <w:t xml:space="preserve">” means the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b/>
          <w:sz w:val="20"/>
        </w:rPr>
        <w:t>2.21</w:t>
      </w:r>
      <w:r>
        <w:rPr>
          <w:rFonts w:ascii="Times New Roman" w:hAnsi="Times New Roman"/>
          <w:sz w:val="20"/>
        </w:rPr>
        <w:t> “</w:t>
      </w:r>
      <w:r>
        <w:rPr>
          <w:rFonts w:ascii="Times New Roman" w:hAnsi="Times New Roman"/>
          <w:b/>
          <w:sz w:val="20"/>
          <w:u w:val="single"/>
        </w:rPr>
        <w:t>Fair Market Value</w:t>
      </w:r>
      <w:r>
        <w:rPr>
          <w:rFonts w:ascii="Times New Roman" w:hAnsi="Times New Roman"/>
          <w:sz w:val="20"/>
        </w:rPr>
        <w:t xml:space="preserve">” means, for purposes of this Plan, unless otherwise required by any applicable provision of the Code or any regulations issued thereunder, as of any date and except as provided below, the last sales price reported for the Common Stock on the applicable date: (a) as reported on the principal national securities exchange in the United States on which it is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traded, listed or otherwise reported or quoted or (b) if the Common Stock is not traded, listed, or otherwise reported or quoted, the Committee shall determine in good faith the Fair Market Value in whatever manner it considers appropriate, taking into account the requirements of Section 409A of the Code. For purposes of the grant of any Award, the applicable date shall be the trading day immediately prior to the date on which the Award is granted. For purposes of the exercise of any Award, the applicable date shall be the date a notice of exercise is received by the Committee or, if not a date on which the applicable market is open, the next day that it is open.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b/>
          <w:sz w:val="20"/>
        </w:rPr>
        <w:t>2.22</w:t>
      </w:r>
      <w:r>
        <w:rPr>
          <w:rFonts w:ascii="Times New Roman" w:hAnsi="Times New Roman"/>
          <w:sz w:val="20"/>
        </w:rPr>
        <w:t> “</w:t>
      </w:r>
      <w:r>
        <w:rPr>
          <w:rFonts w:ascii="Times New Roman" w:hAnsi="Times New Roman"/>
          <w:b/>
          <w:sz w:val="20"/>
          <w:u w:val="single"/>
        </w:rPr>
        <w:t>Family Member</w:t>
      </w:r>
      <w:r>
        <w:rPr>
          <w:rFonts w:ascii="Times New Roman" w:hAnsi="Times New Roman"/>
          <w:sz w:val="20"/>
        </w:rPr>
        <w:t xml:space="preserve">” means “family member” as defined in Section A.1.(a)(5) of the general instructions of Form S-8. </w:t>
      </w:r>
    </w:p>
    <w:p>
      <w:pPr>
        <w:pStyle w:val="TextBody"/>
        <w:bidi w:val="0"/>
        <w:spacing w:before="240" w:after="0"/>
        <w:jc w:val="left"/>
        <w:rPr>
          <w:rFonts w:ascii="Times New Roman" w:hAnsi="Times New Roman"/>
          <w:sz w:val="20"/>
        </w:rPr>
      </w:pPr>
      <w:r>
        <w:rPr>
          <w:rFonts w:ascii="Times New Roman" w:hAnsi="Times New Roman"/>
          <w:b/>
          <w:sz w:val="20"/>
        </w:rPr>
        <w:t>2.23</w:t>
      </w:r>
      <w:r>
        <w:rPr>
          <w:rFonts w:ascii="Times New Roman" w:hAnsi="Times New Roman"/>
          <w:sz w:val="20"/>
        </w:rPr>
        <w:t> “</w:t>
      </w:r>
      <w:r>
        <w:rPr>
          <w:rFonts w:ascii="Times New Roman" w:hAnsi="Times New Roman"/>
          <w:b/>
          <w:sz w:val="20"/>
          <w:u w:val="single"/>
        </w:rPr>
        <w:t>Incentive Stock Option</w:t>
      </w:r>
      <w:r>
        <w:rPr>
          <w:rFonts w:ascii="Times New Roman" w:hAnsi="Times New Roman"/>
          <w:sz w:val="20"/>
        </w:rPr>
        <w:t xml:space="preserve">” means any Stock Option granted to an Eligible Employee who is an employee of the Company or its Subsidiaries under this Plan and that is intended to be, and is designated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2.24</w:t>
      </w:r>
      <w:r>
        <w:rPr>
          <w:rFonts w:ascii="Times New Roman" w:hAnsi="Times New Roman"/>
          <w:sz w:val="20"/>
        </w:rPr>
        <w:t> “</w:t>
      </w:r>
      <w:r>
        <w:rPr>
          <w:rFonts w:ascii="Times New Roman" w:hAnsi="Times New Roman"/>
          <w:b/>
          <w:sz w:val="20"/>
          <w:u w:val="single"/>
        </w:rPr>
        <w:t>Non-Employee Director</w:t>
      </w:r>
      <w:r>
        <w:rPr>
          <w:rFonts w:ascii="Times New Roman" w:hAnsi="Times New Roman"/>
          <w:sz w:val="20"/>
        </w:rPr>
        <w:t xml:space="preserve">” means a director on the Board who is not an employee of the Company. </w:t>
      </w:r>
    </w:p>
    <w:p>
      <w:pPr>
        <w:pStyle w:val="TextBody"/>
        <w:bidi w:val="0"/>
        <w:spacing w:before="240" w:after="0"/>
        <w:jc w:val="left"/>
        <w:rPr>
          <w:rFonts w:ascii="Times New Roman" w:hAnsi="Times New Roman"/>
          <w:sz w:val="20"/>
        </w:rPr>
      </w:pPr>
      <w:r>
        <w:rPr>
          <w:rFonts w:ascii="Times New Roman" w:hAnsi="Times New Roman"/>
          <w:b/>
          <w:sz w:val="20"/>
        </w:rPr>
        <w:t>2.25</w:t>
      </w:r>
      <w:r>
        <w:rPr>
          <w:rFonts w:ascii="Times New Roman" w:hAnsi="Times New Roman"/>
          <w:sz w:val="20"/>
        </w:rPr>
        <w:t> “</w:t>
      </w:r>
      <w:r>
        <w:rPr>
          <w:rFonts w:ascii="Times New Roman" w:hAnsi="Times New Roman"/>
          <w:b/>
          <w:sz w:val="20"/>
          <w:u w:val="single"/>
        </w:rPr>
        <w:t>Non-Qualified Stock Option</w:t>
      </w:r>
      <w:r>
        <w:rPr>
          <w:rFonts w:ascii="Times New Roman" w:hAnsi="Times New Roman"/>
          <w:sz w:val="20"/>
        </w:rPr>
        <w:t xml:space="preserve">” means any Stock Option granted under this Plan that is not an Incentive Stock Option. </w:t>
      </w:r>
    </w:p>
    <w:p>
      <w:pPr>
        <w:pStyle w:val="TextBody"/>
        <w:bidi w:val="0"/>
        <w:spacing w:before="240" w:after="0"/>
        <w:jc w:val="left"/>
        <w:rPr>
          <w:rFonts w:ascii="Times New Roman" w:hAnsi="Times New Roman"/>
          <w:sz w:val="20"/>
        </w:rPr>
      </w:pPr>
      <w:r>
        <w:rPr>
          <w:rFonts w:ascii="Times New Roman" w:hAnsi="Times New Roman"/>
          <w:b/>
          <w:sz w:val="20"/>
        </w:rPr>
        <w:t>2.26</w:t>
      </w:r>
      <w:r>
        <w:rPr>
          <w:rFonts w:ascii="Times New Roman" w:hAnsi="Times New Roman"/>
          <w:sz w:val="20"/>
        </w:rPr>
        <w:t> “</w:t>
      </w:r>
      <w:r>
        <w:rPr>
          <w:rFonts w:ascii="Times New Roman" w:hAnsi="Times New Roman"/>
          <w:b/>
          <w:sz w:val="20"/>
          <w:u w:val="single"/>
        </w:rPr>
        <w:t>Other Stock-Based Award</w:t>
      </w:r>
      <w:r>
        <w:rPr>
          <w:rFonts w:ascii="Times New Roman" w:hAnsi="Times New Roman"/>
          <w:sz w:val="20"/>
        </w:rPr>
        <w:t xml:space="preserve">” means an Award granted under Article IX of this Plan that is valued in whole or in part by reference to, or is payable in or otherwise based on, Shares, but may be settled in the form of Shares or cash. </w:t>
      </w:r>
    </w:p>
    <w:p>
      <w:pPr>
        <w:pStyle w:val="TextBody"/>
        <w:bidi w:val="0"/>
        <w:spacing w:before="240" w:after="0"/>
        <w:jc w:val="left"/>
        <w:rPr>
          <w:rFonts w:ascii="Times New Roman" w:hAnsi="Times New Roman"/>
          <w:sz w:val="20"/>
        </w:rPr>
      </w:pPr>
      <w:r>
        <w:rPr>
          <w:rFonts w:ascii="Times New Roman" w:hAnsi="Times New Roman"/>
          <w:b/>
          <w:sz w:val="20"/>
        </w:rPr>
        <w:t>2.27</w:t>
      </w:r>
      <w:r>
        <w:rPr>
          <w:rFonts w:ascii="Times New Roman" w:hAnsi="Times New Roman"/>
          <w:sz w:val="20"/>
        </w:rPr>
        <w:t> “</w:t>
      </w:r>
      <w:r>
        <w:rPr>
          <w:rFonts w:ascii="Times New Roman" w:hAnsi="Times New Roman"/>
          <w:b/>
          <w:sz w:val="20"/>
          <w:u w:val="single"/>
        </w:rPr>
        <w:t>Participant</w:t>
      </w:r>
      <w:r>
        <w:rPr>
          <w:rFonts w:ascii="Times New Roman" w:hAnsi="Times New Roman"/>
          <w:sz w:val="20"/>
        </w:rPr>
        <w:t xml:space="preserve">” means an Eligible Individual to whom an Award has been granted pursuant to this Plan. </w:t>
      </w:r>
    </w:p>
    <w:p>
      <w:pPr>
        <w:pStyle w:val="TextBody"/>
        <w:bidi w:val="0"/>
        <w:spacing w:before="240" w:after="0"/>
        <w:jc w:val="left"/>
        <w:rPr>
          <w:rFonts w:ascii="Times New Roman" w:hAnsi="Times New Roman"/>
          <w:sz w:val="20"/>
        </w:rPr>
      </w:pPr>
      <w:r>
        <w:rPr>
          <w:rFonts w:ascii="Times New Roman" w:hAnsi="Times New Roman"/>
          <w:b/>
          <w:sz w:val="20"/>
        </w:rPr>
        <w:t>2.28</w:t>
      </w:r>
      <w:r>
        <w:rPr>
          <w:rFonts w:ascii="Times New Roman" w:hAnsi="Times New Roman"/>
          <w:sz w:val="20"/>
        </w:rPr>
        <w:t> “</w:t>
      </w:r>
      <w:r>
        <w:rPr>
          <w:rFonts w:ascii="Times New Roman" w:hAnsi="Times New Roman"/>
          <w:b/>
          <w:sz w:val="20"/>
          <w:u w:val="single"/>
        </w:rPr>
        <w:t>Performance Award</w:t>
      </w:r>
      <w:r>
        <w:rPr>
          <w:rFonts w:ascii="Times New Roman" w:hAnsi="Times New Roman"/>
          <w:sz w:val="20"/>
        </w:rPr>
        <w:t xml:space="preserve">” means an Award granted under Article VIII of this Plan. </w:t>
      </w:r>
    </w:p>
    <w:p>
      <w:pPr>
        <w:pStyle w:val="TextBody"/>
        <w:bidi w:val="0"/>
        <w:spacing w:before="240" w:after="0"/>
        <w:jc w:val="left"/>
        <w:rPr>
          <w:rFonts w:ascii="Times New Roman" w:hAnsi="Times New Roman"/>
          <w:sz w:val="20"/>
        </w:rPr>
      </w:pPr>
      <w:r>
        <w:rPr>
          <w:rFonts w:ascii="Times New Roman" w:hAnsi="Times New Roman"/>
          <w:b/>
          <w:sz w:val="20"/>
        </w:rPr>
        <w:t>2.29</w:t>
      </w:r>
      <w:r>
        <w:rPr>
          <w:rFonts w:ascii="Times New Roman" w:hAnsi="Times New Roman"/>
          <w:sz w:val="20"/>
        </w:rPr>
        <w:t> “</w:t>
      </w:r>
      <w:r>
        <w:rPr>
          <w:rFonts w:ascii="Times New Roman" w:hAnsi="Times New Roman"/>
          <w:b/>
          <w:sz w:val="20"/>
          <w:u w:val="single"/>
        </w:rPr>
        <w:t>Performance Goals</w:t>
      </w:r>
      <w:r>
        <w:rPr>
          <w:rFonts w:ascii="Times New Roman" w:hAnsi="Times New Roman"/>
          <w:sz w:val="20"/>
        </w:rPr>
        <w:t xml:space="preserve">” means goals established by the Committee as contingencies for Awards to vest and/or become exercisable or distributable. </w:t>
      </w:r>
    </w:p>
    <w:p>
      <w:pPr>
        <w:pStyle w:val="TextBody"/>
        <w:bidi w:val="0"/>
        <w:spacing w:before="240" w:after="0"/>
        <w:jc w:val="left"/>
        <w:rPr>
          <w:rFonts w:ascii="Times New Roman" w:hAnsi="Times New Roman"/>
          <w:sz w:val="20"/>
        </w:rPr>
      </w:pPr>
      <w:r>
        <w:rPr>
          <w:rFonts w:ascii="Times New Roman" w:hAnsi="Times New Roman"/>
          <w:b/>
          <w:sz w:val="20"/>
        </w:rPr>
        <w:t>2.30</w:t>
      </w:r>
      <w:r>
        <w:rPr>
          <w:rFonts w:ascii="Times New Roman" w:hAnsi="Times New Roman"/>
          <w:sz w:val="20"/>
        </w:rPr>
        <w:t> “</w:t>
      </w:r>
      <w:r>
        <w:rPr>
          <w:rFonts w:ascii="Times New Roman" w:hAnsi="Times New Roman"/>
          <w:b/>
          <w:sz w:val="20"/>
          <w:u w:val="single"/>
        </w:rPr>
        <w:t>Performance Period</w:t>
      </w:r>
      <w:r>
        <w:rPr>
          <w:rFonts w:ascii="Times New Roman" w:hAnsi="Times New Roman"/>
          <w:sz w:val="20"/>
        </w:rPr>
        <w:t xml:space="preserve">” means the designated period during which the Performance Goals must be satisfied with respect to the Award to which the Performance Goals relate. </w:t>
      </w:r>
    </w:p>
    <w:p>
      <w:pPr>
        <w:pStyle w:val="TextBody"/>
        <w:bidi w:val="0"/>
        <w:spacing w:before="240" w:after="0"/>
        <w:jc w:val="left"/>
        <w:rPr>
          <w:rFonts w:ascii="Times New Roman" w:hAnsi="Times New Roman"/>
          <w:sz w:val="20"/>
        </w:rPr>
      </w:pPr>
      <w:r>
        <w:rPr>
          <w:rFonts w:ascii="Times New Roman" w:hAnsi="Times New Roman"/>
          <w:b/>
          <w:sz w:val="20"/>
        </w:rPr>
        <w:t>2.31</w:t>
      </w:r>
      <w:r>
        <w:rPr>
          <w:rFonts w:ascii="Times New Roman" w:hAnsi="Times New Roman"/>
          <w:sz w:val="20"/>
        </w:rPr>
        <w:t> “</w:t>
      </w:r>
      <w:r>
        <w:rPr>
          <w:rFonts w:ascii="Times New Roman" w:hAnsi="Times New Roman"/>
          <w:b/>
          <w:sz w:val="20"/>
          <w:u w:val="single"/>
        </w:rPr>
        <w:t>Person</w:t>
      </w:r>
      <w:r>
        <w:rPr>
          <w:rFonts w:ascii="Times New Roman" w:hAnsi="Times New Roman"/>
          <w:sz w:val="20"/>
        </w:rPr>
        <w:t xml:space="preserve">” means any “person” as such term is used in Sections 13(d) and 14(d) of the Exchange Act. </w:t>
      </w:r>
    </w:p>
    <w:p>
      <w:pPr>
        <w:pStyle w:val="TextBody"/>
        <w:bidi w:val="0"/>
        <w:spacing w:before="240" w:after="0"/>
        <w:jc w:val="left"/>
        <w:rPr>
          <w:rFonts w:ascii="Times New Roman" w:hAnsi="Times New Roman"/>
          <w:sz w:val="20"/>
        </w:rPr>
      </w:pPr>
      <w:r>
        <w:rPr>
          <w:rFonts w:ascii="Times New Roman" w:hAnsi="Times New Roman"/>
          <w:b/>
          <w:sz w:val="20"/>
        </w:rPr>
        <w:t>2.32</w:t>
      </w:r>
      <w:r>
        <w:rPr>
          <w:rFonts w:ascii="Times New Roman" w:hAnsi="Times New Roman"/>
          <w:sz w:val="20"/>
        </w:rPr>
        <w:t> “</w:t>
      </w:r>
      <w:r>
        <w:rPr>
          <w:rFonts w:ascii="Times New Roman" w:hAnsi="Times New Roman"/>
          <w:b/>
          <w:sz w:val="20"/>
          <w:u w:val="single"/>
        </w:rPr>
        <w:t>Restricted Stock</w:t>
      </w:r>
      <w:r>
        <w:rPr>
          <w:rFonts w:ascii="Times New Roman" w:hAnsi="Times New Roman"/>
          <w:sz w:val="20"/>
        </w:rPr>
        <w:t xml:space="preserve">” means an Award of Shares granted under Article VII of this Plan. </w:t>
      </w:r>
    </w:p>
    <w:p>
      <w:pPr>
        <w:pStyle w:val="TextBody"/>
        <w:bidi w:val="0"/>
        <w:spacing w:before="240" w:after="0"/>
        <w:jc w:val="left"/>
        <w:rPr>
          <w:rFonts w:ascii="Times New Roman" w:hAnsi="Times New Roman"/>
          <w:sz w:val="20"/>
        </w:rPr>
      </w:pPr>
      <w:r>
        <w:rPr>
          <w:rFonts w:ascii="Times New Roman" w:hAnsi="Times New Roman"/>
          <w:b/>
          <w:sz w:val="20"/>
        </w:rPr>
        <w:t>2.33</w:t>
      </w:r>
      <w:r>
        <w:rPr>
          <w:rFonts w:ascii="Times New Roman" w:hAnsi="Times New Roman"/>
          <w:sz w:val="20"/>
        </w:rPr>
        <w:t> “</w:t>
      </w:r>
      <w:r>
        <w:rPr>
          <w:rFonts w:ascii="Times New Roman" w:hAnsi="Times New Roman"/>
          <w:b/>
          <w:sz w:val="20"/>
          <w:u w:val="single"/>
        </w:rPr>
        <w:t>Restricted Stock Unit</w:t>
      </w:r>
      <w:r>
        <w:rPr>
          <w:rFonts w:ascii="Times New Roman" w:hAnsi="Times New Roman"/>
          <w:sz w:val="20"/>
        </w:rPr>
        <w:t xml:space="preserve">” means an unfunded, unsecured right to receive, on the applicable settlement date, one Share or an amount in cash or other consideration determined by the Committee to be of equal value as of such settlement date, subject to certain vesting conditions and other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2.34</w:t>
      </w:r>
      <w:r>
        <w:rPr>
          <w:rFonts w:ascii="Times New Roman" w:hAnsi="Times New Roman"/>
          <w:sz w:val="20"/>
        </w:rPr>
        <w:t> “</w:t>
      </w:r>
      <w:r>
        <w:rPr>
          <w:rFonts w:ascii="Times New Roman" w:hAnsi="Times New Roman"/>
          <w:b/>
          <w:sz w:val="20"/>
          <w:u w:val="single"/>
        </w:rPr>
        <w:t>Rule 16b-3</w:t>
      </w:r>
      <w:r>
        <w:rPr>
          <w:rFonts w:ascii="Times New Roman" w:hAnsi="Times New Roman"/>
          <w:sz w:val="20"/>
        </w:rPr>
        <w:t xml:space="preserve">” means Rule 16b-3 under Section 16(b) of the Exchange Act as then in effect or any successor provision. </w:t>
      </w:r>
    </w:p>
    <w:p>
      <w:pPr>
        <w:pStyle w:val="TextBody"/>
        <w:bidi w:val="0"/>
        <w:spacing w:before="240" w:after="0"/>
        <w:jc w:val="left"/>
        <w:rPr>
          <w:rFonts w:ascii="Times New Roman" w:hAnsi="Times New Roman"/>
          <w:sz w:val="20"/>
        </w:rPr>
      </w:pPr>
      <w:r>
        <w:rPr>
          <w:rFonts w:ascii="Times New Roman" w:hAnsi="Times New Roman"/>
          <w:b/>
          <w:sz w:val="20"/>
        </w:rPr>
        <w:t>2.35</w:t>
      </w:r>
      <w:r>
        <w:rPr>
          <w:rFonts w:ascii="Times New Roman" w:hAnsi="Times New Roman"/>
          <w:sz w:val="20"/>
        </w:rPr>
        <w:t>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409A of the Code</w:t>
      </w:r>
      <w:r>
        <w:rPr>
          <w:rFonts w:ascii="Times New Roman" w:hAnsi="Times New Roman"/>
          <w:sz w:val="20"/>
        </w:rPr>
        <w:t xml:space="preserve">” means the nonqualified deferred compensation rules under Section 409A of the Code and any applicable treasury regulations and other official guidance thereunder. </w:t>
      </w:r>
    </w:p>
    <w:p>
      <w:pPr>
        <w:pStyle w:val="TextBody"/>
        <w:bidi w:val="0"/>
        <w:spacing w:before="240" w:after="0"/>
        <w:jc w:val="left"/>
        <w:rPr>
          <w:rFonts w:ascii="Times New Roman" w:hAnsi="Times New Roman"/>
          <w:sz w:val="20"/>
        </w:rPr>
      </w:pPr>
      <w:r>
        <w:rPr>
          <w:rFonts w:ascii="Times New Roman" w:hAnsi="Times New Roman"/>
          <w:b/>
          <w:sz w:val="20"/>
        </w:rPr>
        <w:t>2.36</w:t>
      </w:r>
      <w:r>
        <w:rPr>
          <w:rFonts w:ascii="Times New Roman" w:hAnsi="Times New Roman"/>
          <w:sz w:val="20"/>
        </w:rPr>
        <w:t> “</w:t>
      </w:r>
      <w:r>
        <w:rPr>
          <w:rFonts w:ascii="Times New Roman" w:hAnsi="Times New Roman"/>
          <w:b/>
          <w:sz w:val="20"/>
          <w:u w:val="single"/>
        </w:rPr>
        <w:t>Securities Act</w:t>
      </w:r>
      <w:r>
        <w:rPr>
          <w:rFonts w:ascii="Times New Roman" w:hAnsi="Times New Roman"/>
          <w:sz w:val="20"/>
        </w:rPr>
        <w:t xml:space="preserve">”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b/>
          <w:sz w:val="20"/>
        </w:rPr>
        <w:t>2.37</w:t>
      </w:r>
      <w:r>
        <w:rPr>
          <w:rFonts w:ascii="Times New Roman" w:hAnsi="Times New Roman"/>
          <w:sz w:val="20"/>
        </w:rPr>
        <w:t> “</w:t>
      </w:r>
      <w:r>
        <w:rPr>
          <w:rFonts w:ascii="Times New Roman" w:hAnsi="Times New Roman"/>
          <w:b/>
          <w:sz w:val="20"/>
          <w:u w:val="single"/>
        </w:rPr>
        <w:t>Shares</w:t>
      </w:r>
      <w:r>
        <w:rPr>
          <w:rFonts w:ascii="Times New Roman" w:hAnsi="Times New Roman"/>
          <w:sz w:val="20"/>
        </w:rPr>
        <w:t xml:space="preserve">” means shares of Common Stock. </w:t>
      </w:r>
    </w:p>
    <w:p>
      <w:pPr>
        <w:pStyle w:val="TextBody"/>
        <w:bidi w:val="0"/>
        <w:spacing w:before="240" w:after="0"/>
        <w:jc w:val="left"/>
        <w:rPr>
          <w:rFonts w:ascii="Times New Roman" w:hAnsi="Times New Roman"/>
          <w:sz w:val="20"/>
        </w:rPr>
      </w:pPr>
      <w:r>
        <w:rPr>
          <w:rFonts w:ascii="Times New Roman" w:hAnsi="Times New Roman"/>
          <w:b/>
          <w:sz w:val="20"/>
        </w:rPr>
        <w:t>2.38</w:t>
      </w:r>
      <w:r>
        <w:rPr>
          <w:rFonts w:ascii="Times New Roman" w:hAnsi="Times New Roman"/>
          <w:sz w:val="20"/>
        </w:rPr>
        <w:t> “</w:t>
      </w:r>
      <w:r>
        <w:rPr>
          <w:rFonts w:ascii="Times New Roman" w:hAnsi="Times New Roman"/>
          <w:b/>
          <w:sz w:val="20"/>
          <w:u w:val="single"/>
        </w:rPr>
        <w:t>Stock Appreciation Right</w:t>
      </w:r>
      <w:r>
        <w:rPr>
          <w:rFonts w:ascii="Times New Roman" w:hAnsi="Times New Roman"/>
          <w:sz w:val="20"/>
        </w:rPr>
        <w:t xml:space="preserve">” means a stock appreciation right granted under Article VI of this Plan. </w:t>
      </w:r>
    </w:p>
    <w:p>
      <w:pPr>
        <w:pStyle w:val="TextBody"/>
        <w:bidi w:val="0"/>
        <w:spacing w:before="240" w:after="0"/>
        <w:jc w:val="left"/>
        <w:rPr>
          <w:rFonts w:ascii="Times New Roman" w:hAnsi="Times New Roman"/>
          <w:sz w:val="20"/>
        </w:rPr>
      </w:pPr>
      <w:r>
        <w:rPr>
          <w:rFonts w:ascii="Times New Roman" w:hAnsi="Times New Roman"/>
          <w:b/>
          <w:sz w:val="20"/>
        </w:rPr>
        <w:t>2.39</w:t>
      </w:r>
      <w:r>
        <w:rPr>
          <w:rFonts w:ascii="Times New Roman" w:hAnsi="Times New Roman"/>
          <w:sz w:val="20"/>
        </w:rPr>
        <w:t> “</w:t>
      </w:r>
      <w:r>
        <w:rPr>
          <w:rFonts w:ascii="Times New Roman" w:hAnsi="Times New Roman"/>
          <w:b/>
          <w:sz w:val="20"/>
          <w:u w:val="single"/>
        </w:rPr>
        <w:t>Stock Option</w:t>
      </w:r>
      <w:r>
        <w:rPr>
          <w:rFonts w:ascii="Times New Roman" w:hAnsi="Times New Roman"/>
          <w:sz w:val="20"/>
        </w:rPr>
        <w:t>” or “</w:t>
      </w:r>
      <w:r>
        <w:rPr>
          <w:rFonts w:ascii="Times New Roman" w:hAnsi="Times New Roman"/>
          <w:b/>
          <w:sz w:val="20"/>
          <w:u w:val="single"/>
        </w:rPr>
        <w:t>Option</w:t>
      </w:r>
      <w:r>
        <w:rPr>
          <w:rFonts w:ascii="Times New Roman" w:hAnsi="Times New Roman"/>
          <w:sz w:val="20"/>
        </w:rPr>
        <w:t xml:space="preserve">” means any option to purchase Shares granted pursuant to Article VI of this Plan. </w:t>
      </w:r>
    </w:p>
    <w:p>
      <w:pPr>
        <w:pStyle w:val="TextBody"/>
        <w:bidi w:val="0"/>
        <w:spacing w:before="240" w:after="0"/>
        <w:jc w:val="left"/>
        <w:rPr>
          <w:rFonts w:ascii="Times New Roman" w:hAnsi="Times New Roman"/>
          <w:sz w:val="20"/>
        </w:rPr>
      </w:pPr>
      <w:r>
        <w:rPr>
          <w:rFonts w:ascii="Times New Roman" w:hAnsi="Times New Roman"/>
          <w:b/>
          <w:sz w:val="20"/>
        </w:rPr>
        <w:t>2.40</w:t>
      </w:r>
      <w:r>
        <w:rPr>
          <w:rFonts w:ascii="Times New Roman" w:hAnsi="Times New Roman"/>
          <w:sz w:val="20"/>
        </w:rPr>
        <w:t> “</w:t>
      </w:r>
      <w:r>
        <w:rPr>
          <w:rFonts w:ascii="Times New Roman" w:hAnsi="Times New Roman"/>
          <w:b/>
          <w:sz w:val="20"/>
          <w:u w:val="single"/>
        </w:rPr>
        <w:t>Subsidiary</w:t>
      </w:r>
      <w:r>
        <w:rPr>
          <w:rFonts w:ascii="Times New Roman" w:hAnsi="Times New Roman"/>
          <w:sz w:val="20"/>
        </w:rPr>
        <w:t xml:space="preserve">” means any subsidiary corporation of the Company within the meaning of Section 424(f) of the Code. </w:t>
      </w:r>
    </w:p>
    <w:p>
      <w:pPr>
        <w:pStyle w:val="TextBody"/>
        <w:bidi w:val="0"/>
        <w:spacing w:before="240" w:after="0"/>
        <w:jc w:val="left"/>
        <w:rPr>
          <w:rFonts w:ascii="Times New Roman" w:hAnsi="Times New Roman"/>
          <w:sz w:val="20"/>
        </w:rPr>
      </w:pPr>
      <w:r>
        <w:rPr>
          <w:rFonts w:ascii="Times New Roman" w:hAnsi="Times New Roman"/>
          <w:b/>
          <w:sz w:val="20"/>
        </w:rPr>
        <w:t>2.41</w:t>
      </w:r>
      <w:r>
        <w:rPr>
          <w:rFonts w:ascii="Times New Roman" w:hAnsi="Times New Roman"/>
          <w:sz w:val="20"/>
        </w:rPr>
        <w:t> “</w:t>
      </w:r>
      <w:r>
        <w:rPr>
          <w:rFonts w:ascii="Times New Roman" w:hAnsi="Times New Roman"/>
          <w:b/>
          <w:sz w:val="20"/>
          <w:u w:val="single"/>
        </w:rPr>
        <w:t>Ten Percent Stockholder</w:t>
      </w:r>
      <w:r>
        <w:rPr>
          <w:rFonts w:ascii="Times New Roman" w:hAnsi="Times New Roman"/>
          <w:sz w:val="20"/>
        </w:rPr>
        <w:t xml:space="preserve">” means a Person owning stock representing more than ten percent (10%) of the total combined voting power of all classes of stock of the Company or its Subsidiaries. </w:t>
      </w:r>
    </w:p>
    <w:p>
      <w:pPr>
        <w:pStyle w:val="TextBody"/>
        <w:bidi w:val="0"/>
        <w:spacing w:before="240" w:after="0"/>
        <w:jc w:val="left"/>
        <w:rPr>
          <w:rFonts w:ascii="Times New Roman" w:hAnsi="Times New Roman"/>
          <w:sz w:val="20"/>
        </w:rPr>
      </w:pPr>
      <w:r>
        <w:rPr>
          <w:rFonts w:ascii="Times New Roman" w:hAnsi="Times New Roman"/>
          <w:b/>
          <w:sz w:val="20"/>
        </w:rPr>
        <w:t>2.42</w:t>
      </w:r>
      <w:r>
        <w:rPr>
          <w:rFonts w:ascii="Times New Roman" w:hAnsi="Times New Roman"/>
          <w:sz w:val="20"/>
        </w:rPr>
        <w:t> “</w:t>
      </w:r>
      <w:r>
        <w:rPr>
          <w:rFonts w:ascii="Times New Roman" w:hAnsi="Times New Roman"/>
          <w:b/>
          <w:sz w:val="20"/>
          <w:u w:val="single"/>
        </w:rPr>
        <w:t>Termination of Service</w:t>
      </w:r>
      <w:r>
        <w:rPr>
          <w:rFonts w:ascii="Times New Roman" w:hAnsi="Times New Roman"/>
          <w:sz w:val="20"/>
        </w:rPr>
        <w:t xml:space="preserve">” means the termination of the applicable Participant’s employment with, or performance of services for, the Company and its Affiliates. Unless 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or performing services for an Affiliate that ceases to be an Affiliate shall also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w:t>
      </w:r>
      <w:r>
        <w:rPr>
          <w:rFonts w:ascii="Times New Roman" w:hAnsi="Times New Roman"/>
          <w:b/>
          <w:sz w:val="20"/>
          <w:u w:val="single"/>
        </w:rPr>
        <w:t>Authority of the Committee</w:t>
      </w:r>
      <w:r>
        <w:rPr>
          <w:rFonts w:ascii="Times New Roman" w:hAnsi="Times New Roman"/>
          <w:sz w:val="20"/>
        </w:rPr>
        <w:t xml:space="preserve">. This Plan shall be administered by the Committee. Subject to the terms of this Plan and Applicable Law, the Committee shall have full authority to grant Awards to Eligible Individuals under this Plan. In particular, the Committee shall have the authority to: </w:t>
      </w:r>
    </w:p>
    <w:p>
      <w:pPr>
        <w:pStyle w:val="TextBody"/>
        <w:bidi w:val="0"/>
        <w:spacing w:before="240" w:after="0"/>
        <w:jc w:val="left"/>
        <w:rPr>
          <w:rFonts w:ascii="Times New Roman" w:hAnsi="Times New Roman"/>
          <w:sz w:val="20"/>
        </w:rPr>
      </w:pPr>
      <w:r>
        <w:rPr>
          <w:rFonts w:ascii="Times New Roman" w:hAnsi="Times New Roman"/>
          <w:sz w:val="20"/>
        </w:rPr>
        <w:t xml:space="preserve">(a) determine whether and to what extent Awards, or any combination thereof, are to be granted hereunder to one or more Eligible Individuals; </w:t>
      </w:r>
    </w:p>
    <w:p>
      <w:pPr>
        <w:pStyle w:val="TextBody"/>
        <w:bidi w:val="0"/>
        <w:spacing w:before="240" w:after="0"/>
        <w:jc w:val="left"/>
        <w:rPr>
          <w:rFonts w:ascii="Times New Roman" w:hAnsi="Times New Roman"/>
          <w:sz w:val="20"/>
        </w:rPr>
      </w:pPr>
      <w:r>
        <w:rPr>
          <w:rFonts w:ascii="Times New Roman" w:hAnsi="Times New Roman"/>
          <w:sz w:val="20"/>
        </w:rPr>
        <w:t xml:space="preserve">(b) determine the number of Shares to be covered by each Award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(c) determine the terms and conditions, not inconsistent with the terms of this Plan, of any Award granted hereunder (including, but not limited to, the exercise or purchase price (if any), any restriction or limitation, any vesting schedule or acceleration thereof, or any forfeiture restrictions or waiver thereof, regarding any Award and the Shares, if any, relating thereto, based on such factors, if any, as the Committee shall determine,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(d) determine the amount of cash to be covered by each Award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(e) determine whether, to what extent, and under what circumstances grants of Options and other Awards under this Plan are to operate on a tandem basis and/or in conjunction with or apart from other awards made by the Company outside of this Plan; </w:t>
      </w:r>
    </w:p>
    <w:p>
      <w:pPr>
        <w:pStyle w:val="TextBody"/>
        <w:bidi w:val="0"/>
        <w:spacing w:before="240" w:after="0"/>
        <w:jc w:val="left"/>
        <w:rPr>
          <w:rFonts w:ascii="Times New Roman" w:hAnsi="Times New Roman"/>
          <w:sz w:val="20"/>
        </w:rPr>
      </w:pPr>
      <w:r>
        <w:rPr>
          <w:rFonts w:ascii="Times New Roman" w:hAnsi="Times New Roman"/>
          <w:sz w:val="20"/>
        </w:rPr>
        <w:t xml:space="preserve">(f) determine whether and under what circumstances an Award may be settled in cash, Shares, other property, or a combination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(g) determine whether, to what extent and under what circumstances cash, Shares, or other property and other amounts payable with respect to an Award under this Plan shall be deferred either automatically or at the election of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(h) modify, waive, amend, or adjust the terms and conditions of any Award, at any time or from time to time, including but not limited to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(i) determine whether a Stock Option is an Incentive Stock Option or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(j) determine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w:t>
      </w:r>
    </w:p>
    <w:p>
      <w:pPr>
        <w:pStyle w:val="TextBody"/>
        <w:bidi w:val="0"/>
        <w:spacing w:before="240" w:after="0"/>
        <w:jc w:val="left"/>
        <w:rPr>
          <w:rFonts w:ascii="Times New Roman" w:hAnsi="Times New Roman"/>
          <w:sz w:val="20"/>
        </w:rPr>
      </w:pPr>
      <w:r>
        <w:rPr>
          <w:rFonts w:ascii="Times New Roman" w:hAnsi="Times New Roman"/>
          <w:sz w:val="20"/>
        </w:rPr>
        <w:t xml:space="preserve">(k) modify, extend, or renew an Award, subject to Article XI and Section 6.8(g) of this Plan;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(l) determine how the Disability, death, retirement, authorized leave of absence or any other change or purported change in a Participant’s status affects an Award and the extent to which, and the period during which, the Participant, the Participant’s legal representative, conservator, guardian or beneficiary may exercise rights under the Award, if applicable.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w:t>
      </w:r>
      <w:r>
        <w:rPr>
          <w:rFonts w:ascii="Times New Roman" w:hAnsi="Times New Roman"/>
          <w:b/>
          <w:sz w:val="20"/>
          <w:u w:val="single"/>
        </w:rPr>
        <w:t>Guidelines</w:t>
      </w:r>
      <w:r>
        <w:rPr>
          <w:rFonts w:ascii="Times New Roman" w:hAnsi="Times New Roman"/>
          <w:sz w:val="20"/>
        </w:rPr>
        <w:t xml:space="preserve">. Subject to Article XI of this Plan, the Committee shall have the authority to adopt, alter, and repeal such administrative rules, guidelines, and practices governing this Plan and perform all acts, including the delegation of its responsibilities (to the extent permitted by Applicable Law and applicable stock exchange rules), as it shall, from time to time, deem advisable; to construe and interpret the terms and provisions of this Plan and any Award issued under this Plan (and any agreements or sub-plans relating thereto); and to otherwise supervise the administration of this Plan. The Committee may correct any defect, supply any omission, or reconcile any inconsistency in this Plan or in any agreement relating thereto in the manner and to the extent it shall deem necessary to effectuate the purpose and intent of this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w:t>
      </w:r>
      <w:r>
        <w:rPr>
          <w:rFonts w:ascii="Times New Roman" w:hAnsi="Times New Roman"/>
          <w:b/>
          <w:sz w:val="20"/>
          <w:u w:val="single"/>
        </w:rPr>
        <w:t>Decisions Final</w:t>
      </w:r>
      <w:r>
        <w:rPr>
          <w:rFonts w:ascii="Times New Roman" w:hAnsi="Times New Roman"/>
          <w:sz w:val="20"/>
        </w:rPr>
        <w:t xml:space="preserve">. Any decision, interpretation, or other action made or taken in good faith by or at the direction of the Company, the 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 </w:t>
      </w:r>
    </w:p>
    <w:p>
      <w:pPr>
        <w:pStyle w:val="TextBody"/>
        <w:bidi w:val="0"/>
        <w:spacing w:before="0" w:after="0"/>
        <w:jc w:val="left"/>
        <w:rPr>
          <w:rFonts w:ascii="Times New Roman" w:hAnsi="Times New Roman"/>
          <w:sz w:val="20"/>
        </w:rPr>
      </w:pPr>
      <w:r>
        <w:rPr>
          <w:rFonts w:ascii="Times New Roman" w:hAnsi="Times New Roman"/>
          <w:b/>
          <w:sz w:val="20"/>
        </w:rPr>
        <w:t>3.4</w:t>
      </w:r>
      <w:r>
        <w:rPr>
          <w:rFonts w:ascii="Times New Roman" w:hAnsi="Times New Roman"/>
          <w:sz w:val="20"/>
        </w:rPr>
        <w:t> </w:t>
      </w:r>
      <w:r>
        <w:rPr>
          <w:rFonts w:ascii="Times New Roman" w:hAnsi="Times New Roman"/>
          <w:b/>
          <w:sz w:val="20"/>
          <w:u w:val="single"/>
        </w:rPr>
        <w:t>Designation of Consultants/Liability; Delegation of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or the Board in the engagement of any such counsel, consultant, or agent shall be paid by the Company. The Committee, its members, and any person designated pursuant to this Section 3.4 shall not be liable for any action or determination made in good faith with respect to this Plan. To the maximum extent permitted by Applicable Law, no officer of the Company or member or former member of the Committee or of the Board shall be liable for any action or determination made in good faith with respect to this Plan or any Award granted under it. </w:t>
      </w:r>
    </w:p>
    <w:p>
      <w:pPr>
        <w:pStyle w:val="TextBody"/>
        <w:bidi w:val="0"/>
        <w:spacing w:before="240" w:after="0"/>
        <w:jc w:val="left"/>
        <w:rPr>
          <w:rFonts w:ascii="Times New Roman" w:hAnsi="Times New Roman"/>
          <w:sz w:val="20"/>
        </w:rPr>
      </w:pPr>
      <w:r>
        <w:rPr>
          <w:rFonts w:ascii="Times New Roman" w:hAnsi="Times New Roman"/>
          <w:sz w:val="20"/>
        </w:rPr>
        <w:t xml:space="preserve">(b) The Committee may delegate any or all of its powers and duties under this Plan to a subcommittee of directors or to any officer of the Company, including the power to perform administrative functions (including executing agreements or other documents on behalf of the Committee) and grant Awards; </w:t>
      </w:r>
      <w:r>
        <w:rPr>
          <w:rFonts w:ascii="Times New Roman" w:hAnsi="Times New Roman"/>
          <w:i/>
          <w:sz w:val="20"/>
        </w:rPr>
        <w:t>provided</w:t>
      </w:r>
      <w:r>
        <w:rPr>
          <w:rFonts w:ascii="Times New Roman" w:hAnsi="Times New Roman"/>
          <w:sz w:val="20"/>
        </w:rPr>
        <w:t xml:space="preserve">, that such delegation does not (i) violate Applicable Law, or (ii) result in the loss of an exemption under Rule 16b-3(d)(1) for Awards granted to Participants subject to Section 16 of the Exchange Act in respect of the Company. Upon any such delegation, all references in this Plan to the “Committee,” shall be deemed to include any subcommittee or officer of the Company to whom such powers have been delegated by the Committee. Any such delegation shall not limit the right of such subcommittee members 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officer to receive Awards;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designate employees or professional advisors who are not executive officers of the Company or members of the Board to assist in administering this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individuals may not be delegated the authority to grant or modify any Awards that will, or may, be settled in Shares.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w:t>
      </w:r>
      <w:r>
        <w:rPr>
          <w:rFonts w:ascii="Times New Roman" w:hAnsi="Times New Roman"/>
          <w:b/>
          <w:sz w:val="20"/>
          <w:u w:val="single"/>
        </w:rPr>
        <w:t>Indemnification</w:t>
      </w:r>
      <w:r>
        <w:rPr>
          <w:rFonts w:ascii="Times New Roman" w:hAnsi="Times New Roman"/>
          <w:sz w:val="20"/>
        </w:rPr>
        <w:t xml:space="preserve">. To the maximum extent permitted by Applicable Law and to the extent not covered by insurance directly insuring such person, each current and former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this Plan, except to the extent arising out of such officer’s, employee’s, member’s, or former member’s own fraud or bad faith. Such indemnification shall be in addition to any right of indemnification that the current or former employee, officer or member may have under Applicable Law or under the by-laws of the Company or any of its Affiliates. Notwithstanding anything else herein, this indemnification will not apply to the actions or determinations made by an individual with regard to Awards granted to such individual under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SHARE LIMITATION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w:t>
      </w:r>
      <w:r>
        <w:rPr>
          <w:rFonts w:ascii="Times New Roman" w:hAnsi="Times New Roman"/>
          <w:b/>
          <w:sz w:val="20"/>
          <w:u w:val="single"/>
        </w:rPr>
        <w:t>Shares</w:t>
      </w:r>
      <w:r>
        <w:rPr>
          <w:rFonts w:ascii="Times New Roman" w:hAnsi="Times New Roman"/>
          <w:sz w:val="20"/>
        </w:rPr>
        <w:t xml:space="preserve">. The aggregate number of Shares that may be issued pursuant to this Plan shall not exceed [    ] Shares (subject to any increase or decrease pursuant to this Article IV), which may be either authorized and unissued Shares or Shares held in or acquired for the treasury of the Company or both. The number of Shares that may be issued pursuant to this Plan shall be subject to an annual increase on January 1 of each calendar year beginning in 2027, and ending and including January 1, 2036, equal to the lesser of (a) 2.5% of the aggregate number of Shares outstanding on December 31 of the immediately preceding calendar year and (b) such smaller number of Shares as is determined by the Board. The aggregate number of Shares that may be issued or used with respect to any Incentive Stock Option shall not exceed [    ] Shares (subject to any increase or decrease pursuant to Section 4.1). Any Award under this Plan settled in cash shall not be counted against the foregoing maximum share limitations. Notwithstanding anything to the contrary contained herein, Shares subject to an Award under this Plan shall again be made available for issuance or delivery under this Plan if such Shares are (i) Shares delivered, withheld or surrendered in payment of the exercise or purchase price of an Award, (ii) Shares delivered, withheld, or surrendered to satisfy any tax withholding obligation or (iii) Shares subject to an Award that expires or is canceled, forfeited, or terminated without issuance of the full number of Shares to which the Award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4.2</w:t>
      </w:r>
      <w:r>
        <w:rPr>
          <w:rFonts w:ascii="Times New Roman" w:hAnsi="Times New Roman"/>
          <w:sz w:val="20"/>
        </w:rPr>
        <w:t> </w:t>
      </w:r>
      <w:r>
        <w:rPr>
          <w:rFonts w:ascii="Times New Roman" w:hAnsi="Times New Roman"/>
          <w:b/>
          <w:sz w:val="20"/>
          <w:u w:val="single"/>
        </w:rPr>
        <w:t>Substitute Awards</w:t>
      </w:r>
      <w:r>
        <w:rPr>
          <w:rFonts w:ascii="Times New Roman" w:hAnsi="Times New Roman"/>
          <w:sz w:val="20"/>
        </w:rPr>
        <w:t>. In connection with an entity’s merger or consolidation with the Company or the Company’s acquisition of an entity’s property or stock, the Committee may grant Awards in substitution for any options or other stock or stock-based awards granted before such merger or consolidation by such entity or its affiliate (“</w:t>
      </w:r>
      <w:r>
        <w:rPr>
          <w:rFonts w:ascii="Times New Roman" w:hAnsi="Times New Roman"/>
          <w:b/>
          <w:sz w:val="20"/>
          <w:u w:val="single"/>
        </w:rPr>
        <w:t>Substitute Awards</w:t>
      </w:r>
      <w:r>
        <w:rPr>
          <w:rFonts w:ascii="Times New Roman" w:hAnsi="Times New Roman"/>
          <w:sz w:val="20"/>
        </w:rPr>
        <w:t xml:space="preserve">”). Substitute Awards may be granted on such terms as the Committee deems appropriate, notwithstanding limitations on Awards in this Plan. Substitute Awards will not count against the Shares authorized for grant under this Plan (nor shall Shares subject to a Substitute Award be added to the Shares available for Awards under this Plan as provided under Section 4.1 above), except that Shares acquired by exercise of substitute Incentive Stock Options will count against the maximum number of Shares that may be issued pursuant to the exercise of Incentive Stock Options under this Plan, as set forth in Section 4.1 above. Additionally, in the event that a Person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this Plan and shall not reduce the Shares authorized for grant under this Plan (and Shares subject to such Awards shall not be added to the Shares available for Awards under this Plan as provided under Section 4.1 above); provided that Awards using such available shares shall not be made after the date awards or grants could have been made under the terms of the pre-existing plan, absent the acquisition or combination, and shall only be made to individuals who were not Eligible Employees or Non-Employee Directors prior to such acquisition or combination.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w:t>
      </w:r>
      <w:r>
        <w:rPr>
          <w:rFonts w:ascii="Times New Roman" w:hAnsi="Times New Roman"/>
          <w:b/>
          <w:sz w:val="20"/>
          <w:u w:val="single"/>
        </w:rPr>
        <w:t>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existence of this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provisions of Section 10.1: </w:t>
      </w:r>
    </w:p>
    <w:p>
      <w:pPr>
        <w:pStyle w:val="TextBody"/>
        <w:bidi w:val="0"/>
        <w:spacing w:before="240" w:after="0"/>
        <w:jc w:val="left"/>
        <w:rPr>
          <w:rFonts w:ascii="Times New Roman" w:hAnsi="Times New Roman"/>
          <w:sz w:val="20"/>
        </w:rPr>
      </w:pPr>
      <w:r>
        <w:rPr>
          <w:rFonts w:ascii="Times New Roman" w:hAnsi="Times New Roman"/>
          <w:sz w:val="20"/>
        </w:rPr>
        <w:t xml:space="preserve">(i) If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this Plan; provided, that the Committee in its sole discretion shall determine whether an adjustment is appropriate. </w:t>
      </w:r>
    </w:p>
    <w:p>
      <w:pPr>
        <w:pStyle w:val="TextBody"/>
        <w:bidi w:val="0"/>
        <w:spacing w:before="240" w:after="0"/>
        <w:jc w:val="left"/>
        <w:rPr>
          <w:rFonts w:ascii="Times New Roman" w:hAnsi="Times New Roman"/>
          <w:sz w:val="20"/>
        </w:rPr>
      </w:pPr>
      <w:r>
        <w:rPr>
          <w:rFonts w:ascii="Times New Roman" w:hAnsi="Times New Roman"/>
          <w:sz w:val="20"/>
        </w:rPr>
        <w:t xml:space="preserve">(ii) Excepting transactions covered by Section 4.3(b)(i), if the Company effects any merger, consolidation, statutory exchange, spin-off, reorganization, sale or transfer of all or substantially all the Company’s assets or business, or other corporate transaction or event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 manner that the Company’s outstanding Shares are converted into the right to receive (or the holders of Common Stock are entitled to receive in exchange therefor), either immediately or upon liquidation of the Company, securities or other property of the Company or other entity, then, subject to the provisions of Section 10.1, (A) the aggregate number or kind of securities that thereafter may be issued under this Plan, (B) the number or kind of securities or other property (including cash) to be issued pursuant to Awards granted under this Plan (including as a result of the assumption of this Plan and the obligations hereunder by a successor entity, as applicable), or (C) the exercise or purchase price thereof, shall be appropriately adjusted by the Committee to prevent dilution or enlargement of the rights granted to, or available for, Participants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(iii) If there shall occur any change in the capital structure of the Company other than those covered by Section 4.3(b)(i) or 4.3(b)(ii), any conversion, any adjustment, or any issuance of any class of securities convertible or exercisable into, or exercisable for, any class of equity securities of the Company, then the Committee shall adjust any Award and make such other adjustments to this Plan to prevent dilution or enlargement of the rights granted to, or available for, Participants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securities offering or other similar transaction, for administrative convenience, the Committee may refuse to permit the exercise of any Award for up to 60 days before or after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(v) The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 </w:t>
      </w:r>
    </w:p>
    <w:p>
      <w:pPr>
        <w:pStyle w:val="TextBody"/>
        <w:bidi w:val="0"/>
        <w:spacing w:before="240" w:after="0"/>
        <w:jc w:val="left"/>
        <w:rPr>
          <w:rFonts w:ascii="Times New Roman" w:hAnsi="Times New Roman"/>
          <w:sz w:val="20"/>
        </w:rPr>
      </w:pPr>
      <w:r>
        <w:rPr>
          <w:rFonts w:ascii="Times New Roman" w:hAnsi="Times New Roman"/>
          <w:sz w:val="20"/>
        </w:rPr>
        <w:t xml:space="preserve">(vi) Any such adjustment determined by the Committee pursuant to this Section 4.3(b) shall be final, binding, and conclusive on the Company and all Participants and their respective heirs, executors, administrators, successors, and permitted assigns. Any adjustment to, or assumption or substitution of, an Award under this Section 4.3(b) shall be intended to comply with the requirements of Section 409A of the Code and Treasury Regulation Section 1.424-1 (and any amendments thereto), to the extent applicable. Except as expressly provided in this Section 4.3 or in the applicable Award Agreement, a Participant shall have no additional rights under this Plan by reason of any transaction or event described in this Section 4.3.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w:t>
      </w:r>
      <w:r>
        <w:rPr>
          <w:rFonts w:ascii="Times New Roman" w:hAnsi="Times New Roman"/>
          <w:b/>
          <w:sz w:val="20"/>
          <w:u w:val="single"/>
        </w:rPr>
        <w:t>Annual Limit on Non-Employee Director Compensation</w:t>
      </w:r>
      <w:r>
        <w:rPr>
          <w:rFonts w:ascii="Times New Roman" w:hAnsi="Times New Roman"/>
          <w:sz w:val="20"/>
        </w:rPr>
        <w:t xml:space="preserve">. In each calendar year during any part of which this Plan is in effect, a Non-Employee Director may not receive Awards for such individual’s service on the Board that, taken together with any cash fees paid to such Non-Employee Director during such calendar year for such individual’s service on the Board, have a value in excess of $750,000 (calculating the value of any such Awards based on the grant date fair value of such Awards for financial reporting purposes); </w:t>
      </w:r>
      <w:r>
        <w:rPr>
          <w:rFonts w:ascii="Times New Roman" w:hAnsi="Times New Roman"/>
          <w:i/>
          <w:sz w:val="20"/>
        </w:rPr>
        <w:t>provided</w:t>
      </w:r>
      <w:r>
        <w:rPr>
          <w:rFonts w:ascii="Times New Roman" w:hAnsi="Times New Roman"/>
          <w:sz w:val="20"/>
        </w:rPr>
        <w:t xml:space="preserve">, that (a) the Committee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make exceptions to this limit, except that the Non-Employee Director receiving such additional compensation may not participate in the decision to award such compensation or in other contemporaneous decisions involving compensation for Non-Employee Directors and (b) for any calendar year in which a Non-Employee Director (i) first commences service on the Board, (ii) serves on a special committee of the Board, or (iii) serves as lead director or non-executive chair of the Board, such limit shall be increased to $1,000,000; </w:t>
      </w:r>
      <w:r>
        <w:rPr>
          <w:rFonts w:ascii="Times New Roman" w:hAnsi="Times New Roman"/>
          <w:i/>
          <w:sz w:val="20"/>
        </w:rPr>
        <w:t>provided, further</w:t>
      </w:r>
      <w:r>
        <w:rPr>
          <w:rFonts w:ascii="Times New Roman" w:hAnsi="Times New Roman"/>
          <w:sz w:val="20"/>
        </w:rPr>
        <w:t xml:space="preserve">, that the limit set forth in this Section 4.4 shall be applied without regard to Awards or other compensation, if any, provided to a Non-Employee Director during any period in which such individual was an employee of the Company or any Affiliate or was otherwise providing services to the Company or to any Affiliate other than in the capacity as a Non-Employee Director.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w:t>
      </w:r>
      <w:r>
        <w:rPr>
          <w:rFonts w:ascii="Times New Roman" w:hAnsi="Times New Roman"/>
          <w:b/>
          <w:sz w:val="20"/>
          <w:u w:val="single"/>
        </w:rPr>
        <w:t>General Eligibility</w:t>
      </w:r>
      <w:r>
        <w:rPr>
          <w:rFonts w:ascii="Times New Roman" w:hAnsi="Times New Roman"/>
          <w:sz w:val="20"/>
        </w:rPr>
        <w:t xml:space="preserve">. All current and prospective Eligible Individuals are eligible to be granted Awards. Eligibility for the grant of Awards and actual participation in this Plan shall be determined by the Committee in its sole discretion. No Eligible Individual will automatically be granted any Award under this Plan.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w:t>
      </w:r>
      <w:r>
        <w:rPr>
          <w:rFonts w:ascii="Times New Roman" w:hAnsi="Times New Roman"/>
          <w:b/>
          <w:sz w:val="20"/>
          <w:u w:val="single"/>
        </w:rPr>
        <w:t>Incentive Stock Options</w:t>
      </w:r>
      <w:r>
        <w:rPr>
          <w:rFonts w:ascii="Times New Roman" w:hAnsi="Times New Roman"/>
          <w:sz w:val="20"/>
        </w:rPr>
        <w:t xml:space="preserve">. Notwithstanding the foregoing, only Eligible Employees who are employees of the Company or its Subsidiaries are eligible to be granted Incentive Stock Options under this Plan. Eligibility for the grant of an Incentive Stock Option and actual participation in this Plan shall be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w:t>
      </w:r>
      <w:r>
        <w:rPr>
          <w:rFonts w:ascii="Times New Roman" w:hAnsi="Times New Roman"/>
          <w:b/>
          <w:sz w:val="20"/>
          <w:u w:val="single"/>
        </w:rPr>
        <w:t>General Requirement</w:t>
      </w:r>
      <w:r>
        <w:rPr>
          <w:rFonts w:ascii="Times New Roman" w:hAnsi="Times New Roman"/>
          <w:sz w:val="20"/>
        </w:rPr>
        <w:t xml:space="preserve">. The vesting and exercise of Awards granted to a prospective Eligible Individual are conditioned upon such individual actually becoming an Eligible Employee, Consultant, or Non-Employee Director, as applicable.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OPTIONS; STOCK APPRECIATION RIGHTS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w:t>
      </w:r>
      <w:r>
        <w:rPr>
          <w:rFonts w:ascii="Times New Roman" w:hAnsi="Times New Roman"/>
          <w:b/>
          <w:sz w:val="20"/>
          <w:u w:val="single"/>
        </w:rPr>
        <w:t>General</w:t>
      </w:r>
      <w:r>
        <w:rPr>
          <w:rFonts w:ascii="Times New Roman" w:hAnsi="Times New Roman"/>
          <w:sz w:val="20"/>
        </w:rPr>
        <w:t xml:space="preserve">. Stock Options or Stock Appreciation Rights may be granted alone or in addition to other Awards granted under this Plan Each Stock Option granted under this Plan shall be of one of two types: (a) an Incentive Stock Option or (b) a Non-Qualified Stock Option. Stock Options and Stock Appreciation Rights granted under this Plan shall be evidenced by an Award Agreement and subject to the terms, conditions and limitations in this Plan, including any limitations applicable to Incentive Stock Options.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w:t>
      </w:r>
      <w:r>
        <w:rPr>
          <w:rFonts w:ascii="Times New Roman" w:hAnsi="Times New Roman"/>
          <w:b/>
          <w:sz w:val="20"/>
          <w:u w:val="single"/>
        </w:rPr>
        <w:t>Grants</w:t>
      </w:r>
      <w:r>
        <w:rPr>
          <w:rFonts w:ascii="Times New Roman" w:hAnsi="Times New Roman"/>
          <w:sz w:val="20"/>
        </w:rPr>
        <w:t xml:space="preserve">. The Committee shall have the authority to grant to any Eligible Individual one or more Incentive Stock Options, Non-Qualified Stock Options, and/or Stock Appreciation Rights;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Incentive Stock Options may only be granted to an Eligible Employee who is an employee of the Company or its Subsidiaries. To the extent that any Stock Option does not qualify as an Incentive Stock Option (whether because of its provisions or the time or manner of its exercise or otherwise), such Stock Option or the portion thereof which does not so qualify shall constitute a separate Non-Qualified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6.3</w:t>
      </w:r>
      <w:r>
        <w:rPr>
          <w:rFonts w:ascii="Times New Roman" w:hAnsi="Times New Roman"/>
          <w:sz w:val="20"/>
        </w:rPr>
        <w:t> </w:t>
      </w:r>
      <w:r>
        <w:rPr>
          <w:rFonts w:ascii="Times New Roman" w:hAnsi="Times New Roman"/>
          <w:b/>
          <w:sz w:val="20"/>
          <w:u w:val="single"/>
        </w:rPr>
        <w:t>Exercise Price</w:t>
      </w:r>
      <w:r>
        <w:rPr>
          <w:rFonts w:ascii="Times New Roman" w:hAnsi="Times New Roman"/>
          <w:sz w:val="20"/>
        </w:rPr>
        <w:t xml:space="preserve">. The exercise price per Share subject to a Stock Option or Stock Appreciation Right shall be determined by the Committee at the time of grant, </w:t>
      </w:r>
      <w:r>
        <w:rPr>
          <w:rFonts w:ascii="Times New Roman" w:hAnsi="Times New Roman"/>
          <w:i/>
          <w:sz w:val="20"/>
        </w:rPr>
        <w:t>provided</w:t>
      </w:r>
      <w:r>
        <w:rPr>
          <w:rFonts w:ascii="Times New Roman" w:hAnsi="Times New Roman"/>
          <w:sz w:val="20"/>
        </w:rPr>
        <w:t xml:space="preserve"> that the per share exercise price of a Stock Option or Stock Appreciation Right shall not be less than 100% (or, in the case of an Incentive Stock Option granted to a Ten Percent Stockholder, 110%) of the Fair Market Value at the time of grant. Notwithstanding the foregoing, in the case of a Stock Option or Stock Appreciation Right that is a Substitute Award, the exercise price per Share for such Stock Option or Stock Appreciation Right may be less than the Fair Market Value on the date of grant; provided, that, such exercise price is determined in a manner consistent with the provisions of Section 409A of the Code and, if applicable, Section 424(a) of the Code.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w:t>
      </w:r>
      <w:r>
        <w:rPr>
          <w:rFonts w:ascii="Times New Roman" w:hAnsi="Times New Roman"/>
          <w:b/>
          <w:sz w:val="20"/>
          <w:u w:val="single"/>
        </w:rPr>
        <w:t>Term</w:t>
      </w:r>
      <w:r>
        <w:rPr>
          <w:rFonts w:ascii="Times New Roman" w:hAnsi="Times New Roman"/>
          <w:sz w:val="20"/>
        </w:rPr>
        <w:t xml:space="preserve">. The term of each Stock Option or Stock Appreciation Right shall be fixed by the Committee, </w:t>
      </w:r>
      <w:r>
        <w:rPr>
          <w:rFonts w:ascii="Times New Roman" w:hAnsi="Times New Roman"/>
          <w:i/>
          <w:sz w:val="20"/>
        </w:rPr>
        <w:t>provided</w:t>
      </w:r>
      <w:r>
        <w:rPr>
          <w:rFonts w:ascii="Times New Roman" w:hAnsi="Times New Roman"/>
          <w:sz w:val="20"/>
        </w:rPr>
        <w:t xml:space="preserve"> that no Stock Option or Stock Appreciation Right shall be exercisable more than 10 years (or, in the case of an Incentive Stock Option granted to a Ten Percent Stockholder, five years) after the date on which the Stock Option or Stock Appreciation Right, as applicable, is granted.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w:t>
      </w:r>
      <w:r>
        <w:rPr>
          <w:rFonts w:ascii="Times New Roman" w:hAnsi="Times New Roman"/>
          <w:b/>
          <w:sz w:val="20"/>
          <w:u w:val="single"/>
        </w:rPr>
        <w:t>Exercisability</w:t>
      </w:r>
      <w:r>
        <w:rPr>
          <w:rFonts w:ascii="Times New Roman" w:hAnsi="Times New Roman"/>
          <w:sz w:val="20"/>
        </w:rPr>
        <w:t xml:space="preserve">. Unless otherwise provided by the Committee in accordance with the provisions of this Section 6.5, Stock Options and Stock Appreciation Rights granted under this Plan shall be exercisable at such time or times and subject to such terms and conditions as shall be determined by the Committee at the time of grant. The Committee may, but shall not be required to, provide for an acceleration of vesting and exercisability upon the occurrence of a specified event. Unless otherwise determined by the Committee, if the exercise of a Non-Qualified Stock Option or Stock Appreciation Right within the permitted time periods is prohibited because such exercise would violate the registration requirements under the Securities Act or any other Applicable Law or the rules of any securities exchange or interdealer quotation system, the Company’s insider trading policy (including any blackout periods) or a “lock-up” agreement entered into in connection with the issuance of securities by the Company, then the expiration of such Non-Qualified Stock Option or Stock Appreciation Right shall be extended until the date that is 30 days after the end of the period during which the exercise of the Non-Qualified Stock Option or Stock Appreciation Right would be in violation of such registration requirement or other Applicable Law or rules, blackout period or lock-up agreement, as determined by the Committee; </w:t>
      </w:r>
      <w:r>
        <w:rPr>
          <w:rFonts w:ascii="Times New Roman" w:hAnsi="Times New Roman"/>
          <w:i/>
          <w:sz w:val="20"/>
        </w:rPr>
        <w:t>provided, however</w:t>
      </w:r>
      <w:r>
        <w:rPr>
          <w:rFonts w:ascii="Times New Roman" w:hAnsi="Times New Roman"/>
          <w:sz w:val="20"/>
        </w:rPr>
        <w:t xml:space="preserve">, that in no event shall any such extension result in any Non-Qualified Stock Option or Stock Appreciation Right remaining exercisable after the 10-year term of the applicable Non-Qualified Stock Option or Stock Appreciation Right.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w:t>
      </w:r>
      <w:r>
        <w:rPr>
          <w:rFonts w:ascii="Times New Roman" w:hAnsi="Times New Roman"/>
          <w:b/>
          <w:sz w:val="20"/>
          <w:u w:val="single"/>
        </w:rPr>
        <w:t>Method of Exercise</w:t>
      </w:r>
      <w:r>
        <w:rPr>
          <w:rFonts w:ascii="Times New Roman" w:hAnsi="Times New Roman"/>
          <w:sz w:val="20"/>
        </w:rPr>
        <w:t xml:space="preserve">. Subject to any applicable waiting period or exercisability provisions under Section 6.5, to the extent vested, Stock Options and Stock Appreciation Rights may be exercised in whole or in part at any time during the term of the applicable Stock Option or Stock Appreciation Right, by giving written notice of exercise (which may be electronic) to the Company specifying the number of Stock Options or Stock Appreciation Rights, as applicable, being exercised.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Agreement. Without limiting the foregoing, the Committee may establish payment terms for the exercise of Stock Options pursuant to which the Company may withhold a number of Shares that otherwise would be issued to the Participant in connection with the exercise of the Stock Option having a Fair Market Value on the date of exercise equal to the exercise price, or that permit the Participant to deliver cash or Shares with a Fair Market Value equal to the exercise price on the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payment, or through a simultaneous sale through a broker of Shares acquired on exercise, all as permitted by Applicable Law. No Shares shall be issued until payment therefor, as provided herein, has been made or provided for. Upon the exercise of a Stock Appreciation Right a Participant shall be entitled to receive, for each right exercised, up to, but no more than, an amount in cash and/or Shares (as chosen by the Committee in its sole discretion) equal in value to the excess of the Fair Market Value of one Share on the date that the right is exercised over the Fair Market Value of one Share on the date that the right was awarded to the Participant.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w:t>
      </w:r>
      <w:r>
        <w:rPr>
          <w:rFonts w:ascii="Times New Roman" w:hAnsi="Times New Roman"/>
          <w:b/>
          <w:sz w:val="20"/>
          <w:u w:val="single"/>
        </w:rPr>
        <w:t>Non-Transferability</w:t>
      </w:r>
      <w:r>
        <w:rPr>
          <w:rFonts w:ascii="Times New Roman" w:hAnsi="Times New Roman"/>
          <w:sz w:val="20"/>
        </w:rPr>
        <w:t xml:space="preserve">. No Stock Option or Stock Appreciation Right shall be transferable by the Participant other than by will or by the laws of descent and distribution, and all Stock Options and Stock Appreciation Rights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6.7 is transferable to a Family Member of the Participant in whole or in part and in such circumstances, and under such conditions, as specified by the Committee. A Non-Qualified Stock Option that is transferred to a Family Member pursuant to the preceding sentence (a) may not be subsequently transferred other than by will or by the laws of descent and distribution and (b) remains subject to the terms of this Plan and the applicable Award Agreement. Any Shares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Award Agreement.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w:t>
      </w:r>
      <w:r>
        <w:rPr>
          <w:rFonts w:ascii="Times New Roman" w:hAnsi="Times New Roman"/>
          <w:b/>
          <w:sz w:val="20"/>
          <w:u w:val="single"/>
        </w:rPr>
        <w:t>Termination</w:t>
      </w:r>
      <w:r>
        <w:rPr>
          <w:rFonts w:ascii="Times New Roman" w:hAnsi="Times New Roman"/>
          <w:sz w:val="20"/>
        </w:rPr>
        <w:t xml:space="preserve">. Unless otherwise determined by the Committee at grant or, if no rights of the Participant are reduced, thereafter, subject to the provisions of the applicable Award Agreement and this Plan, upon a Participant’s Termination of Service for any reason, Stock Appreciation Rights may remain exercisable following a Participant’s Termination of Service as follows: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Termination by Death or Disability</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by reason of death or Disability, all Stock Options and Stock Appreciation Rights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year from the date of such Termination of Service, but in no event beyond the expiration of the stated term of such Stock Options and Stock Appreciation Rights; </w:t>
      </w:r>
      <w:r>
        <w:rPr>
          <w:rFonts w:ascii="Times New Roman" w:hAnsi="Times New Roman"/>
          <w:i/>
          <w:sz w:val="20"/>
        </w:rPr>
        <w:t>provided, however</w:t>
      </w:r>
      <w:r>
        <w:rPr>
          <w:rFonts w:ascii="Times New Roman" w:hAnsi="Times New Roman"/>
          <w:sz w:val="20"/>
        </w:rPr>
        <w:t xml:space="preserve">, that, in the event of a Participant’s Termination of Service by reason of Disability, if the Participant dies within such exercise period, all unexercised Stock Options and Stock Appreciation Rights held by such Participant shall thereafter be exercisable, to the extent to which they were exercisable at the time of death, for a period of one year from the date of such death, but in no event beyond the expiration of the stated term of such Stock Options and/or Stock Appreciation Rights.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Involuntary Termination Without Cause</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involuntary termination by the Company without Cause, all Stock Options and Stock Appreciation Rights that are held by such Participant that are vested and exercisable at the time of the Participant’s Termination of Service may be exercised by the Participant at any time within a period of 90 days from the date of such Termination of Service, but in no event beyond the expiration of the stated term of such Stock Options or Stock Appreciation Rights.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Voluntary Resignation</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voluntary (other than a voluntary termination described in Section 6.8(d) hereof), all Stock Options and Stock Appreciation Rights that are held by such Participant that are vested and exercisable at the time of the Participant’s Termination of Service may be exercised by the Participant at any time within a period of 30 days from the date of such Termination of Service, but in no event beyond the expiration of the stated term of such Stock Options or Stock Appreciation Rights.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Termination for Cause</w:t>
      </w:r>
      <w:r>
        <w:rPr>
          <w:rFonts w:ascii="Times New Roman" w:hAnsi="Times New Roman"/>
          <w:sz w:val="20"/>
        </w:rPr>
        <w:t xml:space="preserve">. Unless otherwise provided in the applicable Award Agreement or determined by the Committee at the time of grant, or if no rights of the Participant are reduced, thereafter, if a Participant’s Termination of Service (i) is for Cause or (ii) is a voluntary Termination of Service (as provided in Section 6.8(c)) after the occurrence of an event that would be grounds for a Termination of Service for Cause, all Stock Options and Stock Appreciation Rights, whether vested or not vested, that are held by such Participant shall thereupon immediately terminate and expire as of the date of such Termination of Service.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Unvested Stock Options and Stock Appreciation Rights.</w:t>
      </w:r>
      <w:r>
        <w:rPr>
          <w:rFonts w:ascii="Times New Roman" w:hAnsi="Times New Roman"/>
          <w:sz w:val="20"/>
        </w:rPr>
        <w:t xml:space="preserve"> Unless otherwise provided in the applicable Award Agreement or determined by the Committee at the time of grant or, if no rights of the Participant are reduced, thereafter, Stock Options and Stock Appreciation Rights that are not vested as of the date of a Participant’s Termination of Service for any reason shall terminate and expire as of the date of such Termination of Service.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Incentive Stock Option Limitations</w:t>
      </w:r>
      <w:r>
        <w:rPr>
          <w:rFonts w:ascii="Times New Roman" w:hAnsi="Times New Roman"/>
          <w:sz w:val="20"/>
        </w:rPr>
        <w:t xml:space="preserve">. To the extent that the aggregate Fair Market Value (determined as of the time of grant) of the Shares with respect to which Incentive Stock Options are exercisable for the first time by an Eligible Employee during any calendar year under this Plan and/or any other stock option plan of the Company or any Subsidiary exceeds $100,000, such Options shall be treated as Non-Qualified Stock Options. In addition, if an Eligible Employee does not remain employed by the Company or any Subsidiary at all times from the time an Incentive Stock Option is granted until three months prior to the date of exercise thereof (or such other period as required by Applicable Law), such Stock Option shall be treated as a Non-Qualified Stock Option. Should any provision of this Plan not be necessary in order for the Stock Options to qualify as Incentive Stock Options, or should any additional provisions be required, the Committee may amend this Plan accordingly, without the necessity of obtaining the approval of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Modification, Extension and Renewal of Stock Options</w:t>
      </w:r>
      <w:r>
        <w:rPr>
          <w:rFonts w:ascii="Times New Roman" w:hAnsi="Times New Roman"/>
          <w:sz w:val="20"/>
        </w:rPr>
        <w:t xml:space="preserve">. The Committee may (i) modify, extend, or renew outstanding Stock Options granted under this Plan (provided that the rights of a Participant are not reduced without such Participant’s consent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6.9</w:t>
      </w:r>
      <w:r>
        <w:rPr>
          <w:rFonts w:ascii="Times New Roman" w:hAnsi="Times New Roman"/>
          <w:sz w:val="20"/>
        </w:rPr>
        <w:t> </w:t>
      </w:r>
      <w:r>
        <w:rPr>
          <w:rFonts w:ascii="Times New Roman" w:hAnsi="Times New Roman"/>
          <w:b/>
          <w:sz w:val="20"/>
          <w:u w:val="single"/>
        </w:rPr>
        <w:t>Automatic Exercise</w:t>
      </w:r>
      <w:r>
        <w:rPr>
          <w:rFonts w:ascii="Times New Roman" w:hAnsi="Times New Roman"/>
          <w:sz w:val="20"/>
        </w:rPr>
        <w:t xml:space="preserve">. The Committee may include a provision in an Award Agreement providing for the automatic exercise of a Non-Qualified Stock Option or Stock Appreciation Right on a cashless basis on the last day of the term of such Option or Stock Appreciation Right if the Participant has failed to exercise the Non-Qualified Stock Option or Stock Appreciation Right as of such date, with respect to which the Fair Market Value of the Shares underlying the Non-Qualified Stock Option or Stock Appreciation Right exceeds the exercise price of such Non-Qualified Stock Option or Stock Appreciation Right on the date of expiration of such Option or Stock Appreciation Right, subject to Section 13.5.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w:t>
      </w:r>
      <w:r>
        <w:rPr>
          <w:rFonts w:ascii="Times New Roman" w:hAnsi="Times New Roman"/>
          <w:b/>
          <w:sz w:val="20"/>
          <w:u w:val="single"/>
        </w:rPr>
        <w:t>Dividends</w:t>
      </w:r>
      <w:r>
        <w:rPr>
          <w:rFonts w:ascii="Times New Roman" w:hAnsi="Times New Roman"/>
          <w:sz w:val="20"/>
        </w:rPr>
        <w:t xml:space="preserve">. No dividend or Dividend Equivalent Rights shall be granted with respect to Stock Options or Stock Appreciation Rights.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w:t>
      </w:r>
      <w:r>
        <w:rPr>
          <w:rFonts w:ascii="Times New Roman" w:hAnsi="Times New Roman"/>
          <w:b/>
          <w:sz w:val="20"/>
          <w:u w:val="single"/>
        </w:rPr>
        <w:t>Other Terms and Conditions</w:t>
      </w:r>
      <w:r>
        <w:rPr>
          <w:rFonts w:ascii="Times New Roman" w:hAnsi="Times New Roman"/>
          <w:sz w:val="20"/>
        </w:rPr>
        <w:t xml:space="preserve">. As the Committee shall deem appropriate, Stock Options and Stock Appreciation Rights may be subject to additional terms and conditions or other provisions, which shall not be inconsistent with any of the terms of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RESTRICTED STOCK UNITS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w:t>
      </w:r>
      <w:r>
        <w:rPr>
          <w:rFonts w:ascii="Times New Roman" w:hAnsi="Times New Roman"/>
          <w:b/>
          <w:sz w:val="20"/>
          <w:u w:val="single"/>
        </w:rPr>
        <w:t>Awards of Restricted Stock and Restricted Stock Units</w:t>
      </w:r>
      <w:r>
        <w:rPr>
          <w:rFonts w:ascii="Times New Roman" w:hAnsi="Times New Roman"/>
          <w:sz w:val="20"/>
        </w:rPr>
        <w:t xml:space="preserve">. Shares of Restricted Stock and Restricted Stock Units may be granted alone or in addition to other Awards granted under this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Section 7.2), the time or times within which such Awards may be subject to forfeiture, the vesting schedule and rights to acceleration thereof, and all other terms and conditions of the Awards. The Committee shall determine and set forth in the Award Agreement the terms and conditions for each Award of Restricted Stock and Restricted Stock Units, subject to the conditions and limitations contained in this Plan, including any vesting or forfeiture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condition the grant or vesting of Restricted Stock and Restricted Stock Units upon the attainment of specified Performance Goals or such other factor as the Committee may determine in its sole discretion.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w:t>
      </w:r>
      <w:r>
        <w:rPr>
          <w:rFonts w:ascii="Times New Roman" w:hAnsi="Times New Roman"/>
          <w:b/>
          <w:sz w:val="20"/>
          <w:u w:val="single"/>
        </w:rPr>
        <w:t>Awards and Certificates</w:t>
      </w:r>
      <w:r>
        <w:rPr>
          <w:rFonts w:ascii="Times New Roman" w:hAnsi="Times New Roman"/>
          <w:sz w:val="20"/>
        </w:rPr>
        <w:t xml:space="preserve">. Restricted Stock and Restricted Stock Units granted under this Plan shall be evidenced by an Award Agreement and subject to the following terms and conditions and shall be in such form and contain such additional terms and conditions not inconsistent with the terms of this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Purchase Price</w:t>
      </w:r>
      <w:r>
        <w:rPr>
          <w:rFonts w:ascii="Times New Roman" w:hAnsi="Times New Roman"/>
          <w:sz w:val="20"/>
        </w:rPr>
        <w:t xml:space="preserve">. The purchase price of Restricted Stock shall be fixed by the Committee. The purchase price for shares of Restricted Stock may be zero to the extent permitted by Applicable Law, and, to the extent not so permitted, such purchase price may not be less than par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Legend</w:t>
      </w:r>
      <w:r>
        <w:rPr>
          <w:rFonts w:ascii="Times New Roman" w:hAnsi="Times New Roman"/>
          <w:sz w:val="20"/>
        </w:rPr>
        <w:t xml:space="preserve">. Each Participant receiving Restricted Stock shall be issued a stock certificate in respect of such shares of Restricted Stock, unless the Committee elects to use another system, such as book entries by the Company’s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Custody</w:t>
      </w:r>
      <w:r>
        <w:rPr>
          <w:rFonts w:ascii="Times New Roman" w:hAnsi="Times New Roman"/>
          <w:sz w:val="20"/>
        </w:rPr>
        <w:t xml:space="preserve">.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Award of Restricted Stock in the event that such Award is forfeited in whole or part.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Rights as a Stockholder</w:t>
      </w:r>
      <w:r>
        <w:rPr>
          <w:rFonts w:ascii="Times New Roman" w:hAnsi="Times New Roman"/>
          <w:sz w:val="20"/>
        </w:rPr>
        <w:t xml:space="preserve">. Except as provided in Section 7.3(a) and this Section 7.2(a)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w:t>
      </w:r>
      <w:r>
        <w:rPr>
          <w:rFonts w:ascii="Times New Roman" w:hAnsi="Times New Roman"/>
          <w:i/>
          <w:sz w:val="20"/>
        </w:rPr>
        <w:t>provided</w:t>
      </w:r>
      <w:r>
        <w:rPr>
          <w:rFonts w:ascii="Times New Roman" w:hAnsi="Times New Roman"/>
          <w:sz w:val="20"/>
        </w:rPr>
        <w:t xml:space="preserve"> that the Award Agreement shall specify on what terms and conditions the applicable Participant shall be entitled to dividends payable on the Shares.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Lapse of Restrictions</w:t>
      </w:r>
      <w:r>
        <w:rPr>
          <w:rFonts w:ascii="Times New Roman" w:hAnsi="Times New Roman"/>
          <w:sz w:val="20"/>
        </w:rPr>
        <w:t xml:space="preserve">. If and when the Restriction Period (as defined below)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Settlement</w:t>
      </w:r>
      <w:r>
        <w:rPr>
          <w:rFonts w:ascii="Times New Roman" w:hAnsi="Times New Roman"/>
          <w:sz w:val="20"/>
        </w:rPr>
        <w:t xml:space="preserve">.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Rights as a Stockholder</w:t>
      </w:r>
      <w:r>
        <w:rPr>
          <w:rFonts w:ascii="Times New Roman" w:hAnsi="Times New Roman"/>
          <w:sz w:val="20"/>
        </w:rPr>
        <w:t xml:space="preserve">. A Participant will have no rights of a stockholder with respect to Shares subject to any Restricted Stock Unit unless and until Shares are delivered in settlement of the Restricted Stock Units.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Dividend Equivalent Rights</w:t>
      </w:r>
      <w:r>
        <w:rPr>
          <w:rFonts w:ascii="Times New Roman" w:hAnsi="Times New Roman"/>
          <w:sz w:val="20"/>
        </w:rPr>
        <w:t xml:space="preserve">. If the Committee so provides, a grant of Restricted Stock Units may provide a Participant with the right to receive Dividend Equivalent Rights. Dividend Equivalent Rights may be paid currently or credited to an account for the Participant, settled in cash or Shares, and subject to the same restrictions on transferability and forfeitability as the Restricted Stock Units with respect to which the Dividend Equivalent Rights are granted and subject to other terms and conditions as set forth in the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7.3</w:t>
      </w:r>
      <w:r>
        <w:rPr>
          <w:rFonts w:ascii="Times New Roman" w:hAnsi="Times New Roman"/>
          <w:sz w:val="20"/>
        </w:rPr>
        <w:t> </w:t>
      </w:r>
      <w:r>
        <w:rPr>
          <w:rFonts w:ascii="Times New Roman" w:hAnsi="Times New Roman"/>
          <w:b/>
          <w:sz w:val="20"/>
          <w:u w:val="single"/>
        </w:rPr>
        <w:t>Restrictions and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Restriction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Participant shall not be permitted to transfer shares of Restricted Stock awarded under this Plan or vest in Restricted Stock Units during the period or periods set by the Committee (the “</w:t>
      </w:r>
      <w:r>
        <w:rPr>
          <w:rFonts w:ascii="Times New Roman" w:hAnsi="Times New Roman"/>
          <w:b/>
          <w:sz w:val="20"/>
          <w:u w:val="single"/>
        </w:rPr>
        <w:t>Restriction Period</w:t>
      </w:r>
      <w:r>
        <w:rPr>
          <w:rFonts w:ascii="Times New Roman" w:hAnsi="Times New Roman"/>
          <w:sz w:val="20"/>
        </w:rPr>
        <w:t xml:space="preserve">”)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pursuant to Section 7.3(a)(ii), and/or such other factors or criteria as the Committee may determine in its sole discretion, the Committee may condition the grant or provide for the lapse of such restrictions in installments in whole or in part, or may accelerate the vesting of all or any part of any Award of Restricted Stock or Restricted Stock Units and/or waive the deferral limitations for all or any part of any Award of Restricted Stock or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(ii) If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types of events or circumstances.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Termination</w:t>
      </w:r>
      <w:r>
        <w:rPr>
          <w:rFonts w:ascii="Times New Roman" w:hAnsi="Times New Roman"/>
          <w:sz w:val="20"/>
        </w:rPr>
        <w:t xml:space="preserve">.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PERFORMANCE AWARDS </w:t>
      </w:r>
    </w:p>
    <w:p>
      <w:pPr>
        <w:pStyle w:val="TextBody"/>
        <w:bidi w:val="0"/>
        <w:spacing w:before="24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 The Committee may grant a Performance Award to a Participant payable upon the attainment of specific Performance Goals either alone or in addition to other Awards granted under this Plan. The Performance Goals to be achieved during the Performance Period and the length of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may be paid in cash, Shares, other property, or any combination thereof, in the sole discretion of the Committee as set forth in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OTHER STOCK-BASED AND CASH AWARDS </w:t>
      </w:r>
    </w:p>
    <w:p>
      <w:pPr>
        <w:pStyle w:val="TextBody"/>
        <w:bidi w:val="0"/>
        <w:spacing w:before="240" w:after="0"/>
        <w:jc w:val="left"/>
        <w:rPr>
          <w:rFonts w:ascii="Times New Roman" w:hAnsi="Times New Roman"/>
          <w:sz w:val="20"/>
        </w:rPr>
      </w:pPr>
      <w:r>
        <w:rPr>
          <w:rFonts w:ascii="Times New Roman" w:hAnsi="Times New Roman"/>
          <w:b/>
          <w:sz w:val="20"/>
        </w:rPr>
        <w:t>9.1</w:t>
      </w:r>
      <w:r>
        <w:rPr>
          <w:rFonts w:ascii="Times New Roman" w:hAnsi="Times New Roman"/>
          <w:sz w:val="20"/>
        </w:rPr>
        <w:t> </w:t>
      </w:r>
      <w:r>
        <w:rPr>
          <w:rFonts w:ascii="Times New Roman" w:hAnsi="Times New Roman"/>
          <w:b/>
          <w:sz w:val="20"/>
          <w:u w:val="single"/>
        </w:rPr>
        <w:t>Other Stock-Based Awards</w:t>
      </w:r>
      <w:r>
        <w:rPr>
          <w:rFonts w:ascii="Times New Roman" w:hAnsi="Times New Roman"/>
          <w:sz w:val="20"/>
        </w:rPr>
        <w:t xml:space="preserve">. The Committee is authorized to grant to Eligible Individuals Other Stock-Based Awards that are payable in, 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the book value of Shares. Other Stock-Based Awards may be granted either alone or in addition to or in tandem with other Awards granted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this Plan, the Committee shall have authority to determine the Eligible Individuals, to whom, and the time or times at which, such Other Stock-Based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 </w:t>
      </w:r>
    </w:p>
    <w:p>
      <w:pPr>
        <w:pStyle w:val="TextBody"/>
        <w:bidi w:val="0"/>
        <w:spacing w:before="240" w:after="0"/>
        <w:jc w:val="left"/>
        <w:rPr>
          <w:rFonts w:ascii="Times New Roman" w:hAnsi="Times New Roman"/>
          <w:sz w:val="20"/>
        </w:rPr>
      </w:pPr>
      <w:r>
        <w:rPr>
          <w:rFonts w:ascii="Times New Roman" w:hAnsi="Times New Roman"/>
          <w:b/>
          <w:sz w:val="20"/>
        </w:rPr>
        <w:t>9.2</w:t>
      </w:r>
      <w:r>
        <w:rPr>
          <w:rFonts w:ascii="Times New Roman" w:hAnsi="Times New Roman"/>
          <w:sz w:val="20"/>
        </w:rPr>
        <w:t> </w:t>
      </w:r>
      <w:r>
        <w:rPr>
          <w:rFonts w:ascii="Times New Roman" w:hAnsi="Times New Roman"/>
          <w:b/>
          <w:sz w:val="20"/>
          <w:u w:val="single"/>
        </w:rPr>
        <w:t>Terms and Conditions</w:t>
      </w:r>
      <w:r>
        <w:rPr>
          <w:rFonts w:ascii="Times New Roman" w:hAnsi="Times New Roman"/>
          <w:sz w:val="20"/>
        </w:rPr>
        <w:t xml:space="preserve">. Other Stock-Based Awards made pursuant to this Article IX shall be evidenced by an Award Agreement and subject to the following terms and conditions and shall be in such form and contain such additional terms and conditions not inconsistent with the terms of this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Non-Transferability</w:t>
      </w:r>
      <w:r>
        <w:rPr>
          <w:rFonts w:ascii="Times New Roman" w:hAnsi="Times New Roman"/>
          <w:sz w:val="20"/>
        </w:rPr>
        <w:t xml:space="preserve">. Subject to the applicable provisions of the Award Agreement and this Plan, Shares subject to Other Stock-Based Awards may not be transferred prior to the date on which the Shares are issued or, if later, the date on which any applicable restriction, performance, or deferral period lapses.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Dividends</w:t>
      </w:r>
      <w:r>
        <w:rPr>
          <w:rFonts w:ascii="Times New Roman" w:hAnsi="Times New Roman"/>
          <w:sz w:val="20"/>
        </w:rPr>
        <w:t xml:space="preserve">. Unless otherwise determined by the Committee at the time of the grant of an Other Stock-Based Award, subject to the provisions of the Award Agreement and this Plan, the recipient of an Other Stock-Based Award shall not be entitled to receive, currently or on a deferred basis, dividends or Dividend Equivalent Rights in respect of the number of Shares covered by the Other Stock-Based Award.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Vesting</w:t>
      </w:r>
      <w:r>
        <w:rPr>
          <w:rFonts w:ascii="Times New Roman" w:hAnsi="Times New Roman"/>
          <w:sz w:val="20"/>
        </w:rPr>
        <w:t xml:space="preserve">. Any Other Stock-Based Award and any Shares covered by any such Other Stock-Based Award shall vest or be forfeited to the extent so provided in the Award Agreement, as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Price</w:t>
      </w:r>
      <w:r>
        <w:rPr>
          <w:rFonts w:ascii="Times New Roman" w:hAnsi="Times New Roman"/>
          <w:sz w:val="20"/>
        </w:rPr>
        <w:t xml:space="preserve">. Shares under this Article IX may be issued for no cash consideration. Shares purchased pursuant to a purchase right awarded pursuant to an Other Stock-Based Award shall be priced, as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b/>
          <w:sz w:val="20"/>
        </w:rPr>
        <w:t>9.3</w:t>
      </w:r>
      <w:r>
        <w:rPr>
          <w:rFonts w:ascii="Times New Roman" w:hAnsi="Times New Roman"/>
          <w:sz w:val="20"/>
        </w:rPr>
        <w:t> </w:t>
      </w:r>
      <w:r>
        <w:rPr>
          <w:rFonts w:ascii="Times New Roman" w:hAnsi="Times New Roman"/>
          <w:b/>
          <w:sz w:val="20"/>
          <w:u w:val="single"/>
        </w:rPr>
        <w:t>Cash Awards</w:t>
      </w:r>
      <w:r>
        <w:rPr>
          <w:rFonts w:ascii="Times New Roman" w:hAnsi="Times New Roman"/>
          <w:sz w:val="20"/>
        </w:rPr>
        <w:t xml:space="preserve">. The Committee may from time to time grant Cash Awards to Eligible Individuals in such amounts, on such terms and 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vesting conditions, the Committee may accelerate the vesting of such Awards at any time in its sole discretion. The grant of a Cash Award shall not require a segregation of any of the Company’s assets for satisfaction of the Company’s payment obligation thereunder.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CHANGE IN CONTROL PROVISIONS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w:t>
      </w:r>
      <w:r>
        <w:rPr>
          <w:rFonts w:ascii="Times New Roman" w:hAnsi="Times New Roman"/>
          <w:b/>
          <w:sz w:val="20"/>
          <w:u w:val="single"/>
        </w:rPr>
        <w:t>Benefits</w:t>
      </w:r>
      <w:r>
        <w:rPr>
          <w:rFonts w:ascii="Times New Roman" w:hAnsi="Times New Roman"/>
          <w:sz w:val="20"/>
        </w:rPr>
        <w:t xml:space="preserve">. In the event of a Change in Control of the Company, and except as otherwise provided by the Committee in an Award Agreement or any applicable employment agreement, offer letter, consulting agreement, change in control agreement, or similar agreement in effect between the Company or an Affiliate and the Participant, a Participant’s unvested Awards shall not vest automatically and a Participant’s Awards shall be treated in accordance with one or more of the following methods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(a) Awards, whether or not then vested, shall be continued, be assumed, or have new rights substituted therefor, as determined by the Committee in a manner consistent with the requirements of Section 409A of the Code, and restrictions to which shares of Restricted Stock or any other Award granted prior to the Change in Control are subject shall not lapse upon a Change in Control and the Restricted Stock or other Award shall, where appropriate in the sole discretion of the Committee, receive the same distribution as other Shares on such terms as determined by the Committee; </w:t>
      </w:r>
      <w:r>
        <w:rPr>
          <w:rFonts w:ascii="Times New Roman" w:hAnsi="Times New Roman"/>
          <w:i/>
          <w:sz w:val="20"/>
        </w:rPr>
        <w:t>provided</w:t>
      </w:r>
      <w:r>
        <w:rPr>
          <w:rFonts w:ascii="Times New Roman" w:hAnsi="Times New Roman"/>
          <w:sz w:val="20"/>
        </w:rPr>
        <w:t xml:space="preserve"> that the Committee may decide to award additional Restricted Stock or other Awards in lieu of any cash distribution. Notwithstanding anything to the contrary herein, for purposes of Incentive Stock Options, any assumed or substituted Stock Option shall comply with the requirements of Treasury Regulation Section 1.424-1 (and any amendment thereto). </w:t>
      </w:r>
    </w:p>
    <w:p>
      <w:pPr>
        <w:pStyle w:val="TextBody"/>
        <w:bidi w:val="0"/>
        <w:spacing w:before="240" w:after="0"/>
        <w:jc w:val="left"/>
        <w:rPr>
          <w:rFonts w:ascii="Times New Roman" w:hAnsi="Times New Roman"/>
          <w:sz w:val="20"/>
        </w:rPr>
      </w:pPr>
      <w:r>
        <w:rPr>
          <w:rFonts w:ascii="Times New Roman" w:hAnsi="Times New Roman"/>
          <w:sz w:val="20"/>
        </w:rPr>
        <w:t xml:space="preserve">(b) The Committee, in its sole discretion, may provide for the purchase of any Awards by the Company for an amount of cash equal to the excess (if any) of the Change in Control Price of the Shares covered by such Awards, over the aggregate exercise price of such Awards; </w:t>
      </w:r>
      <w:r>
        <w:rPr>
          <w:rFonts w:ascii="Times New Roman" w:hAnsi="Times New Roman"/>
          <w:i/>
          <w:sz w:val="20"/>
        </w:rPr>
        <w:t>provided, however</w:t>
      </w:r>
      <w:r>
        <w:rPr>
          <w:rFonts w:ascii="Times New Roman" w:hAnsi="Times New Roman"/>
          <w:sz w:val="20"/>
        </w:rPr>
        <w:t xml:space="preserve">, that if the exercise price of an Option or Stock Appreciation Right exceeds the Change in Control Price, such Award may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(c) The Committee may, in its sole discretion, terminate all outstanding and unexercised Stock Options, Stock Appreciation Rights, or any Other Stock-Based Award that provides for a Participant-elected exercise, effective as of the date of the Change in Control, by delivering notice of termination to each Participant at least 20 days prior to the date of consummation of the Change in Control, in which case during the period from the date on which such notice of termination is delivered to the consummation of the Change in Control,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Change in Control, and, </w:t>
      </w:r>
      <w:r>
        <w:rPr>
          <w:rFonts w:ascii="Times New Roman" w:hAnsi="Times New Roman"/>
          <w:i/>
          <w:sz w:val="20"/>
        </w:rPr>
        <w:t>provided</w:t>
      </w:r>
      <w:r>
        <w:rPr>
          <w:rFonts w:ascii="Times New Roman" w:hAnsi="Times New Roman"/>
          <w:sz w:val="20"/>
        </w:rPr>
        <w:t xml:space="preserve"> that, if the Change in Control does not take place within a specified period after giving such notice for any reason whatsoever, the notice and exercise pursuant thereto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herein to the contrary, the Committee may, in its sole discretion, provide for accelerated vesting or lapse of restrictions, of an Award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OR AMENDMENT OF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Plan, the Board or the Committee may at any time, and from time to time, amend, in whole or in part, any or all of the provisions of this Plan (including any amendment deemed necessary to ensure that the Company may comply with any Applicable Law), or suspend or terminate it entirely, retroactively or otherwise; </w:t>
      </w:r>
      <w:r>
        <w:rPr>
          <w:rFonts w:ascii="Times New Roman" w:hAnsi="Times New Roman"/>
          <w:i/>
          <w:sz w:val="20"/>
        </w:rPr>
        <w:t>provided, however</w:t>
      </w:r>
      <w:r>
        <w:rPr>
          <w:rFonts w:ascii="Times New Roman" w:hAnsi="Times New Roman"/>
          <w:sz w:val="20"/>
        </w:rPr>
        <w:t xml:space="preserve">, that, unless otherwise required by Applicable Law or specifically provided herein, the rights of a Participant with respect to Awards granted prior to such amendment, suspension, or termination may not be materially impaired without the consent of such Participant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without the approval of the holders of the Shares entitled to vote in accordance with Applicable Law, no amendment may be made that would (a) increase the aggregate number of Shares that may be issued under this Plan (except by operation of Section 4.1); or (b) change the classification of individuals eligible to receive Awards under this Plan. In addition, the Board or the Committee shall, without the approval of the holders of the Shares entitled to vote in accordance with Applicable Law, have the authority to (i) amend any outstanding Option or Stock Appreciation Right to reduce its exercise price per Share or (ii) cancel any Option or Stock Appreciation Right in exchange for cash or another Award. Notwithstanding anything herein to the contrary, the Board or the Committee may amend this Plan or any Award Agreement at any time without a Participant’s consent to comply with Applicable Law, including Section 409A of the Code. The Committee may amend the terms of any Award theretofore granted, prospectively or retroactively, but, subject to Article IV or as otherwise specifically provided herein, no such amendment or other action by the Committee shall materially impair the rights of any Participant without the Participant’s consent.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UNFUNDED STATUS OF PLAN </w:t>
      </w:r>
    </w:p>
    <w:p>
      <w:pPr>
        <w:pStyle w:val="TextBody"/>
        <w:bidi w:val="0"/>
        <w:spacing w:before="240" w:after="0"/>
        <w:jc w:val="left"/>
        <w:rPr>
          <w:rFonts w:ascii="Times New Roman" w:hAnsi="Times New Roman"/>
          <w:sz w:val="20"/>
        </w:rPr>
      </w:pPr>
      <w:r>
        <w:rPr>
          <w:rFonts w:ascii="Times New Roman" w:hAnsi="Times New Roman"/>
          <w:sz w:val="20"/>
        </w:rPr>
        <w:t xml:space="preserve">This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b/>
          <w:sz w:val="20"/>
        </w:rPr>
        <w:t>13.1</w:t>
      </w:r>
      <w:r>
        <w:rPr>
          <w:rFonts w:ascii="Times New Roman" w:hAnsi="Times New Roman"/>
          <w:sz w:val="20"/>
        </w:rPr>
        <w:t> </w:t>
      </w:r>
      <w:r>
        <w:rPr>
          <w:rFonts w:ascii="Times New Roman" w:hAnsi="Times New Roman"/>
          <w:b/>
          <w:sz w:val="20"/>
          <w:u w:val="single"/>
        </w:rPr>
        <w:t>Lock-Up; Legend</w:t>
      </w:r>
      <w:r>
        <w:rPr>
          <w:rFonts w:ascii="Times New Roman" w:hAnsi="Times New Roman"/>
          <w:sz w:val="20"/>
        </w:rPr>
        <w:t xml:space="preserve">. The Committee may require each person receiving Shares pursuant to a Stock Option or other Award under this Plan to represent to and agree with the Company in writing that the Participant is acquiring the Shares without a view to distribution thereof. The Company may, in connection with registering the offering of any Company securities under the Securities Act, prohibit Participants from, directly or indirectly, selling or otherwise transferring any Shares or other Company securities during any period determined by the underwriter or the Company. In addition to any legend required by this Plan, the certificates for such Shares may include any legend that the Committee deems appropriate to reflect any restrictions on transfer. All certificates for Shares delivered under this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Common Stock is then quoted, and any Applicable Law, and the Committee may cause a legend or legends to be put on any such certificates to make appropriate reference to such restrictions. If the Shares are held in book-entry form, then the book-entry will indicate any restrictions on such Shares. </w:t>
      </w:r>
    </w:p>
    <w:p>
      <w:pPr>
        <w:pStyle w:val="TextBody"/>
        <w:bidi w:val="0"/>
        <w:spacing w:before="240" w:after="0"/>
        <w:jc w:val="left"/>
        <w:rPr>
          <w:rFonts w:ascii="Times New Roman" w:hAnsi="Times New Roman"/>
          <w:sz w:val="20"/>
        </w:rPr>
      </w:pPr>
      <w:r>
        <w:rPr>
          <w:rFonts w:ascii="Times New Roman" w:hAnsi="Times New Roman"/>
          <w:b/>
          <w:sz w:val="20"/>
        </w:rPr>
        <w:t>13.2</w:t>
      </w:r>
      <w:r>
        <w:rPr>
          <w:rFonts w:ascii="Times New Roman" w:hAnsi="Times New Roman"/>
          <w:sz w:val="20"/>
        </w:rPr>
        <w:t> </w:t>
      </w:r>
      <w:r>
        <w:rPr>
          <w:rFonts w:ascii="Times New Roman" w:hAnsi="Times New Roman"/>
          <w:b/>
          <w:sz w:val="20"/>
          <w:u w:val="single"/>
        </w:rPr>
        <w:t>Other Plans</w:t>
      </w:r>
      <w:r>
        <w:rPr>
          <w:rFonts w:ascii="Times New Roman" w:hAnsi="Times New Roman"/>
          <w:sz w:val="20"/>
        </w:rPr>
        <w:t xml:space="preserve">. Nothing contained in this Plan shall prevent the Board from adopting other or additional compensation arrangements, subject to stockholder approval if such approval is required, and such arrangements may be either generally applicable or applicable only in specific cases. </w:t>
      </w:r>
    </w:p>
    <w:p>
      <w:pPr>
        <w:pStyle w:val="TextBody"/>
        <w:bidi w:val="0"/>
        <w:spacing w:before="240" w:after="0"/>
        <w:jc w:val="left"/>
        <w:rPr>
          <w:rFonts w:ascii="Times New Roman" w:hAnsi="Times New Roman"/>
          <w:sz w:val="20"/>
        </w:rPr>
      </w:pPr>
      <w:r>
        <w:rPr>
          <w:rFonts w:ascii="Times New Roman" w:hAnsi="Times New Roman"/>
          <w:b/>
          <w:sz w:val="20"/>
        </w:rPr>
        <w:t>13.3</w:t>
      </w:r>
      <w:r>
        <w:rPr>
          <w:rFonts w:ascii="Times New Roman" w:hAnsi="Times New Roman"/>
          <w:sz w:val="20"/>
        </w:rPr>
        <w:t> </w:t>
      </w:r>
      <w:r>
        <w:rPr>
          <w:rFonts w:ascii="Times New Roman" w:hAnsi="Times New Roman"/>
          <w:b/>
          <w:sz w:val="20"/>
          <w:u w:val="single"/>
        </w:rPr>
        <w:t>No Right to Employment/Directorship/Consultancy</w:t>
      </w:r>
      <w:r>
        <w:rPr>
          <w:rFonts w:ascii="Times New Roman" w:hAnsi="Times New Roman"/>
          <w:sz w:val="20"/>
        </w:rPr>
        <w:t xml:space="preserve">. Neither this Plan nor the grant of any Award hereunder shall give any Participant or other employee, Consultant or Non-Employee Director any right with respect to continuance of employment, consultancy or directorship by the Company or any Affiliate, nor shall there be a limitation in any way on the right of the Company or any Affiliate by which an employee is employed or a Consultant or Non-Employee Director is retained to terminate such employment, consultancy, or directorship at any time. </w:t>
      </w:r>
    </w:p>
    <w:p>
      <w:pPr>
        <w:pStyle w:val="TextBody"/>
        <w:bidi w:val="0"/>
        <w:spacing w:before="240" w:after="0"/>
        <w:jc w:val="left"/>
        <w:rPr>
          <w:rFonts w:ascii="Times New Roman" w:hAnsi="Times New Roman"/>
          <w:sz w:val="20"/>
        </w:rPr>
      </w:pPr>
      <w:r>
        <w:rPr>
          <w:rFonts w:ascii="Times New Roman" w:hAnsi="Times New Roman"/>
          <w:b/>
          <w:sz w:val="20"/>
        </w:rPr>
        <w:t>13.4</w:t>
      </w:r>
      <w:r>
        <w:rPr>
          <w:rFonts w:ascii="Times New Roman" w:hAnsi="Times New Roman"/>
          <w:sz w:val="20"/>
        </w:rPr>
        <w:t> </w:t>
      </w:r>
      <w:r>
        <w:rPr>
          <w:rFonts w:ascii="Times New Roman" w:hAnsi="Times New Roman"/>
          <w:b/>
          <w:sz w:val="20"/>
          <w:u w:val="single"/>
        </w:rPr>
        <w:t>Withholding of Taxes</w:t>
      </w:r>
      <w:r>
        <w:rPr>
          <w:rFonts w:ascii="Times New Roman" w:hAnsi="Times New Roman"/>
          <w:sz w:val="20"/>
        </w:rPr>
        <w:t xml:space="preserve">. A Participant shall be required to pay to the Company or one of its Affiliates, as applicable, or make arrangements satisfactory to the Company regarding the payment of, any income tax, social insurance contribution or other applicable taxes that are required to be withheld in respect of an Award. The Committee may (but is not obligated to), in its sole discretion, permit or require a Participant to satisfy all or any portion of the applicable taxes that are required to be withheld with respect to an Award by (a) the delivery of Shares (which are not subject to any pledge or other security interest) that have been both held by the Participant and vested for at least six months (or such other period as established from time to time by the Committee in order to avoid adverse accounting treatment under applicable accounting standards) having an aggregate Fair Market Value equal to such withholding liability (or portion thereof); (b)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 (c) by any other means specified in the applicable Award Agreement or otherwise determined by the Committee. </w:t>
      </w:r>
    </w:p>
    <w:p>
      <w:pPr>
        <w:pStyle w:val="TextBody"/>
        <w:bidi w:val="0"/>
        <w:spacing w:before="240" w:after="0"/>
        <w:jc w:val="left"/>
        <w:rPr>
          <w:rFonts w:ascii="Times New Roman" w:hAnsi="Times New Roman"/>
          <w:sz w:val="20"/>
        </w:rPr>
      </w:pPr>
      <w:r>
        <w:rPr>
          <w:rFonts w:ascii="Times New Roman" w:hAnsi="Times New Roman"/>
          <w:b/>
          <w:sz w:val="20"/>
        </w:rPr>
        <w:t>13.5</w:t>
      </w:r>
      <w:r>
        <w:rPr>
          <w:rFonts w:ascii="Times New Roman" w:hAnsi="Times New Roman"/>
          <w:sz w:val="20"/>
        </w:rPr>
        <w:t> </w:t>
      </w:r>
      <w:r>
        <w:rPr>
          <w:rFonts w:ascii="Times New Roman" w:hAnsi="Times New Roman"/>
          <w:b/>
          <w:sz w:val="20"/>
          <w:u w:val="single"/>
        </w:rPr>
        <w:t>Fractional Shares</w:t>
      </w:r>
      <w:r>
        <w:rPr>
          <w:rFonts w:ascii="Times New Roman" w:hAnsi="Times New Roman"/>
          <w:sz w:val="20"/>
        </w:rPr>
        <w:t xml:space="preserve">. No fractional Shares shall be issued or delivered pursuant to this Plan. The Committee shall determine whether cash, additional Awards, or other securities or property shall be used or paid in lieu of fractional Shares or whether any fractional shares should be rounded, forfeited, or otherwise eliminated. </w:t>
      </w:r>
    </w:p>
    <w:p>
      <w:pPr>
        <w:pStyle w:val="TextBody"/>
        <w:bidi w:val="0"/>
        <w:spacing w:before="240" w:after="0"/>
        <w:jc w:val="left"/>
        <w:rPr>
          <w:rFonts w:ascii="Times New Roman" w:hAnsi="Times New Roman"/>
          <w:sz w:val="20"/>
        </w:rPr>
      </w:pPr>
      <w:r>
        <w:rPr>
          <w:rFonts w:ascii="Times New Roman" w:hAnsi="Times New Roman"/>
          <w:b/>
          <w:sz w:val="20"/>
        </w:rPr>
        <w:t>13.6</w:t>
      </w:r>
      <w:r>
        <w:rPr>
          <w:rFonts w:ascii="Times New Roman" w:hAnsi="Times New Roman"/>
          <w:sz w:val="20"/>
        </w:rPr>
        <w:t> </w:t>
      </w:r>
      <w:r>
        <w:rPr>
          <w:rFonts w:ascii="Times New Roman" w:hAnsi="Times New Roman"/>
          <w:b/>
          <w:sz w:val="20"/>
          <w:u w:val="single"/>
        </w:rPr>
        <w:t>No Assignment of Benefits</w:t>
      </w:r>
      <w:r>
        <w:rPr>
          <w:rFonts w:ascii="Times New Roman" w:hAnsi="Times New Roman"/>
          <w:sz w:val="20"/>
        </w:rPr>
        <w:t xml:space="preserve">. No Award or other benefit payable under this Plan shall, except as otherwise specifically provided in this Plan or under Applicable Law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13.7</w:t>
      </w:r>
      <w:r>
        <w:rPr>
          <w:rFonts w:ascii="Times New Roman" w:hAnsi="Times New Roman"/>
          <w:sz w:val="20"/>
        </w:rPr>
        <w:t> </w:t>
      </w:r>
      <w:r>
        <w:rPr>
          <w:rFonts w:ascii="Times New Roman" w:hAnsi="Times New Roman"/>
          <w:b/>
          <w:sz w:val="20"/>
          <w:u w:val="single"/>
        </w:rPr>
        <w:t>Clawbacks</w:t>
      </w:r>
      <w:r>
        <w:rPr>
          <w:rFonts w:ascii="Times New Roman" w:hAnsi="Times New Roman"/>
          <w:sz w:val="20"/>
        </w:rPr>
        <w:t xml:space="preserve">. All awards, amounts, or benefits received or outstanding under this Plan will be subject to clawback, cancellation, recoupment, rescission, payback, reduction, or other similar action in accordance with any Company clawback or similar policy or any Applicable Law related to such actions. A Participant’s acceptance of an Award will constitute the Participant’s acknowledgement of and consent to the Company’s application, implementation, and enforcement of any applicable Company clawback or similar policy that may apply to the Participant, whether adopted before or after the Effective Date, and any Applicable Law relating to clawback, cancellation, recoupment, rescission, payback, or reduction of compensation, and the Participant’s agreement that the Company may take any actions that may be necessary to effectuate any such policy or Applicable Law, without further consideration or action. </w:t>
      </w:r>
    </w:p>
    <w:p>
      <w:pPr>
        <w:pStyle w:val="TextBody"/>
        <w:bidi w:val="0"/>
        <w:spacing w:before="240" w:after="0"/>
        <w:jc w:val="left"/>
        <w:rPr>
          <w:rFonts w:ascii="Times New Roman" w:hAnsi="Times New Roman"/>
          <w:sz w:val="20"/>
        </w:rPr>
      </w:pPr>
      <w:r>
        <w:rPr>
          <w:rFonts w:ascii="Times New Roman" w:hAnsi="Times New Roman"/>
          <w:b/>
          <w:sz w:val="20"/>
        </w:rPr>
        <w:t>13.8</w:t>
      </w:r>
      <w:r>
        <w:rPr>
          <w:rFonts w:ascii="Times New Roman" w:hAnsi="Times New Roman"/>
          <w:sz w:val="20"/>
        </w:rPr>
        <w:t> </w:t>
      </w:r>
      <w:r>
        <w:rPr>
          <w:rFonts w:ascii="Times New Roman" w:hAnsi="Times New Roman"/>
          <w:b/>
          <w:sz w:val="20"/>
          <w:u w:val="single"/>
        </w:rPr>
        <w:t>Listing and Other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the Committee, as long as the Common Stock is listed on a national securities exchange or system sponsored by a national securities association, the issuance of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counsel to the Company advises the Company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based on the advice of said counsel, such sale or delivery shall be lawful or will not result in the imposition of excise taxes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(c) Upon termination of any period of suspension under this Section 13.8,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 </w:t>
      </w:r>
    </w:p>
    <w:p>
      <w:pPr>
        <w:pStyle w:val="TextBody"/>
        <w:bidi w:val="0"/>
        <w:spacing w:before="240" w:after="0"/>
        <w:jc w:val="left"/>
        <w:rPr>
          <w:rFonts w:ascii="Times New Roman" w:hAnsi="Times New Roman"/>
          <w:sz w:val="20"/>
        </w:rPr>
      </w:pPr>
      <w:r>
        <w:rPr>
          <w:rFonts w:ascii="Times New Roman" w:hAnsi="Times New Roman"/>
          <w:sz w:val="20"/>
        </w:rPr>
        <w:t xml:space="preserve">(d) A Participant shall be required to supply the Company with certificates, representations, and information that the Company requests and otherwise cooperate with the Company in obtaining any listing, registration, qualification, exemption, consent, or approval that the Company deems necessary or appropriate. </w:t>
      </w:r>
    </w:p>
    <w:p>
      <w:pPr>
        <w:pStyle w:val="TextBody"/>
        <w:bidi w:val="0"/>
        <w:spacing w:before="240" w:after="0"/>
        <w:jc w:val="left"/>
        <w:rPr>
          <w:rFonts w:ascii="Times New Roman" w:hAnsi="Times New Roman"/>
          <w:sz w:val="20"/>
        </w:rPr>
      </w:pPr>
      <w:r>
        <w:rPr>
          <w:rFonts w:ascii="Times New Roman" w:hAnsi="Times New Roman"/>
          <w:b/>
          <w:sz w:val="20"/>
        </w:rPr>
        <w:t>13.9</w:t>
      </w:r>
      <w:r>
        <w:rPr>
          <w:rFonts w:ascii="Times New Roman" w:hAnsi="Times New Roman"/>
          <w:sz w:val="20"/>
        </w:rPr>
        <w:t> </w:t>
      </w:r>
      <w:r>
        <w:rPr>
          <w:rFonts w:ascii="Times New Roman" w:hAnsi="Times New Roman"/>
          <w:b/>
          <w:sz w:val="20"/>
          <w:u w:val="single"/>
        </w:rPr>
        <w:t>Governing Law</w:t>
      </w:r>
      <w:r>
        <w:rPr>
          <w:rFonts w:ascii="Times New Roman" w:hAnsi="Times New Roman"/>
          <w:sz w:val="20"/>
        </w:rPr>
        <w:t xml:space="preserve">. This Plan and actions taken in connection herewith shall be governed and construed in accordance with the laws of the State of Delaware, without reference to principles of conflict of laws. </w:t>
      </w:r>
    </w:p>
    <w:p>
      <w:pPr>
        <w:pStyle w:val="TextBody"/>
        <w:bidi w:val="0"/>
        <w:spacing w:before="240" w:after="0"/>
        <w:jc w:val="left"/>
        <w:rPr>
          <w:rFonts w:ascii="Times New Roman" w:hAnsi="Times New Roman"/>
          <w:sz w:val="20"/>
        </w:rPr>
      </w:pPr>
      <w:r>
        <w:rPr>
          <w:rFonts w:ascii="Times New Roman" w:hAnsi="Times New Roman"/>
          <w:b/>
          <w:sz w:val="20"/>
        </w:rPr>
        <w:t>13.10</w:t>
      </w:r>
      <w:r>
        <w:rPr>
          <w:rFonts w:ascii="Times New Roman" w:hAnsi="Times New Roman"/>
          <w:sz w:val="20"/>
        </w:rPr>
        <w:t> </w:t>
      </w:r>
      <w:r>
        <w:rPr>
          <w:rFonts w:ascii="Times New Roman" w:hAnsi="Times New Roman"/>
          <w:b/>
          <w:sz w:val="20"/>
          <w:u w:val="single"/>
        </w:rPr>
        <w:t>Construction</w:t>
      </w:r>
      <w:r>
        <w:rPr>
          <w:rFonts w:ascii="Times New Roman" w:hAnsi="Times New Roman"/>
          <w:sz w:val="20"/>
        </w:rPr>
        <w:t xml:space="preserve">. Wherever any words are used in this Plan in the masculine gender they shall be construed as though they were also used in the feminine gender in all cases where they would so apply, and wherever words are used herein in the singular form they shall be construed as though they were also used in the plural form in all cases where they would so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13.11</w:t>
      </w:r>
      <w:r>
        <w:rPr>
          <w:rFonts w:ascii="Times New Roman" w:hAnsi="Times New Roman"/>
          <w:sz w:val="20"/>
        </w:rPr>
        <w:t> </w:t>
      </w:r>
      <w:r>
        <w:rPr>
          <w:rFonts w:ascii="Times New Roman" w:hAnsi="Times New Roman"/>
          <w:b/>
          <w:sz w:val="20"/>
          <w:u w:val="single"/>
        </w:rPr>
        <w:t>Other Benefits</w:t>
      </w:r>
      <w:r>
        <w:rPr>
          <w:rFonts w:ascii="Times New Roman" w:hAnsi="Times New Roman"/>
          <w:sz w:val="20"/>
        </w:rPr>
        <w:t xml:space="preserve">. No Award granted or paid out under this Plan shall be deemed compensation for purposes of computing benefits under any retirement plan of the Company or its Affiliates or affect any benefit or compensation under any other plan now or subsequently in effect under which the availability or amount of benefits is related to the level of compensation. </w:t>
      </w:r>
    </w:p>
    <w:p>
      <w:pPr>
        <w:pStyle w:val="TextBody"/>
        <w:bidi w:val="0"/>
        <w:spacing w:before="240" w:after="0"/>
        <w:jc w:val="left"/>
        <w:rPr>
          <w:rFonts w:ascii="Times New Roman" w:hAnsi="Times New Roman"/>
          <w:sz w:val="20"/>
        </w:rPr>
      </w:pPr>
      <w:r>
        <w:rPr>
          <w:rFonts w:ascii="Times New Roman" w:hAnsi="Times New Roman"/>
          <w:b/>
          <w:sz w:val="20"/>
        </w:rPr>
        <w:t>13.12</w:t>
      </w:r>
      <w:r>
        <w:rPr>
          <w:rFonts w:ascii="Times New Roman" w:hAnsi="Times New Roman"/>
          <w:sz w:val="20"/>
        </w:rPr>
        <w:t> </w:t>
      </w:r>
      <w:r>
        <w:rPr>
          <w:rFonts w:ascii="Times New Roman" w:hAnsi="Times New Roman"/>
          <w:b/>
          <w:sz w:val="20"/>
          <w:u w:val="single"/>
        </w:rPr>
        <w:t>Costs</w:t>
      </w:r>
      <w:r>
        <w:rPr>
          <w:rFonts w:ascii="Times New Roman" w:hAnsi="Times New Roman"/>
          <w:sz w:val="20"/>
        </w:rPr>
        <w:t xml:space="preserve">. The Company shall bear all expenses associated with administering this Plan, including expenses of issuing Shares pursuant to Awards hereunder. </w:t>
      </w:r>
    </w:p>
    <w:p>
      <w:pPr>
        <w:pStyle w:val="TextBody"/>
        <w:bidi w:val="0"/>
        <w:spacing w:before="240" w:after="0"/>
        <w:jc w:val="left"/>
        <w:rPr>
          <w:rFonts w:ascii="Times New Roman" w:hAnsi="Times New Roman"/>
          <w:sz w:val="20"/>
        </w:rPr>
      </w:pPr>
      <w:r>
        <w:rPr>
          <w:rFonts w:ascii="Times New Roman" w:hAnsi="Times New Roman"/>
          <w:b/>
          <w:sz w:val="20"/>
        </w:rPr>
        <w:t>13.13</w:t>
      </w:r>
      <w:r>
        <w:rPr>
          <w:rFonts w:ascii="Times New Roman" w:hAnsi="Times New Roman"/>
          <w:sz w:val="20"/>
        </w:rPr>
        <w:t> </w:t>
      </w:r>
      <w:r>
        <w:rPr>
          <w:rFonts w:ascii="Times New Roman" w:hAnsi="Times New Roman"/>
          <w:b/>
          <w:sz w:val="20"/>
          <w:u w:val="single"/>
        </w:rPr>
        <w:t>No Right to Same Benefits</w:t>
      </w:r>
      <w:r>
        <w:rPr>
          <w:rFonts w:ascii="Times New Roman" w:hAnsi="Times New Roman"/>
          <w:sz w:val="20"/>
        </w:rPr>
        <w:t xml:space="preserve">. The provisions of Awards need not be the same with respect to each Participant, and such Awards to individual Participants need not be the same in subsequent years. </w:t>
      </w:r>
    </w:p>
    <w:p>
      <w:pPr>
        <w:pStyle w:val="TextBody"/>
        <w:bidi w:val="0"/>
        <w:spacing w:before="240" w:after="0"/>
        <w:jc w:val="left"/>
        <w:rPr>
          <w:rFonts w:ascii="Times New Roman" w:hAnsi="Times New Roman"/>
          <w:sz w:val="20"/>
        </w:rPr>
      </w:pPr>
      <w:r>
        <w:rPr>
          <w:rFonts w:ascii="Times New Roman" w:hAnsi="Times New Roman"/>
          <w:b/>
          <w:sz w:val="20"/>
        </w:rPr>
        <w:t>13.14</w:t>
      </w:r>
      <w:r>
        <w:rPr>
          <w:rFonts w:ascii="Times New Roman" w:hAnsi="Times New Roman"/>
          <w:sz w:val="20"/>
        </w:rPr>
        <w:t> </w:t>
      </w:r>
      <w:r>
        <w:rPr>
          <w:rFonts w:ascii="Times New Roman" w:hAnsi="Times New Roman"/>
          <w:b/>
          <w:sz w:val="20"/>
          <w:u w:val="single"/>
        </w:rPr>
        <w:t>Death/Disability</w:t>
      </w:r>
      <w:r>
        <w:rPr>
          <w:rFonts w:ascii="Times New Roman" w:hAnsi="Times New Roman"/>
          <w:sz w:val="20"/>
        </w:rPr>
        <w:t xml:space="preserve">.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 </w:t>
      </w:r>
    </w:p>
    <w:p>
      <w:pPr>
        <w:pStyle w:val="TextBody"/>
        <w:bidi w:val="0"/>
        <w:spacing w:before="240" w:after="0"/>
        <w:jc w:val="left"/>
        <w:rPr>
          <w:rFonts w:ascii="Times New Roman" w:hAnsi="Times New Roman"/>
          <w:sz w:val="20"/>
        </w:rPr>
      </w:pPr>
      <w:r>
        <w:rPr>
          <w:rFonts w:ascii="Times New Roman" w:hAnsi="Times New Roman"/>
          <w:b/>
          <w:sz w:val="20"/>
        </w:rPr>
        <w:t>13.15</w:t>
      </w:r>
      <w:r>
        <w:rPr>
          <w:rFonts w:ascii="Times New Roman" w:hAnsi="Times New Roman"/>
          <w:sz w:val="20"/>
        </w:rPr>
        <w:t> </w:t>
      </w:r>
      <w:r>
        <w:rPr>
          <w:rFonts w:ascii="Times New Roman" w:hAnsi="Times New Roman"/>
          <w:b/>
          <w:sz w:val="20"/>
          <w:u w:val="single"/>
        </w:rPr>
        <w:t>Section 16(b) of the Exchange Act</w:t>
      </w:r>
      <w:r>
        <w:rPr>
          <w:rFonts w:ascii="Times New Roman" w:hAnsi="Times New Roman"/>
          <w:sz w:val="20"/>
        </w:rPr>
        <w:t xml:space="preserve">. It is the intent of the Company that this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this Plan would conflict with the intent expressed in this Section 13.15, such provision to the extent possible shall be interpreted and/or deemed amended so as to avoid such conflict. </w:t>
      </w:r>
    </w:p>
    <w:p>
      <w:pPr>
        <w:pStyle w:val="TextBody"/>
        <w:bidi w:val="0"/>
        <w:spacing w:before="240" w:after="0"/>
        <w:jc w:val="left"/>
        <w:rPr>
          <w:rFonts w:ascii="Times New Roman" w:hAnsi="Times New Roman"/>
          <w:sz w:val="20"/>
        </w:rPr>
      </w:pPr>
      <w:r>
        <w:rPr>
          <w:rFonts w:ascii="Times New Roman" w:hAnsi="Times New Roman"/>
          <w:b/>
          <w:sz w:val="20"/>
        </w:rPr>
        <w:t>13.16</w:t>
      </w:r>
      <w:r>
        <w:rPr>
          <w:rFonts w:ascii="Times New Roman" w:hAnsi="Times New Roman"/>
          <w:sz w:val="20"/>
        </w:rPr>
        <w:t> </w:t>
      </w:r>
      <w:r>
        <w:rPr>
          <w:rFonts w:ascii="Times New Roman" w:hAnsi="Times New Roman"/>
          <w:b/>
          <w:sz w:val="20"/>
          <w:u w:val="single"/>
        </w:rPr>
        <w:t>Deferral of Awards</w:t>
      </w:r>
      <w:r>
        <w:rPr>
          <w:rFonts w:ascii="Times New Roman" w:hAnsi="Times New Roman"/>
          <w:sz w:val="20"/>
        </w:rPr>
        <w:t xml:space="preserve">. The Committee may establish one or more programs under this Plan to permit selected Participants the opportunity to 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 </w:t>
      </w:r>
    </w:p>
    <w:p>
      <w:pPr>
        <w:pStyle w:val="TextBody"/>
        <w:bidi w:val="0"/>
        <w:spacing w:before="240" w:after="0"/>
        <w:jc w:val="left"/>
        <w:rPr>
          <w:rFonts w:ascii="Times New Roman" w:hAnsi="Times New Roman"/>
          <w:sz w:val="20"/>
        </w:rPr>
      </w:pPr>
      <w:r>
        <w:rPr>
          <w:rFonts w:ascii="Times New Roman" w:hAnsi="Times New Roman"/>
          <w:b/>
          <w:sz w:val="20"/>
        </w:rPr>
        <w:t>13.17</w:t>
      </w:r>
      <w:r>
        <w:rPr>
          <w:rFonts w:ascii="Times New Roman" w:hAnsi="Times New Roman"/>
          <w:sz w:val="20"/>
        </w:rPr>
        <w:t> </w:t>
      </w:r>
      <w:r>
        <w:rPr>
          <w:rFonts w:ascii="Times New Roman" w:hAnsi="Times New Roman"/>
          <w:b/>
          <w:sz w:val="20"/>
          <w:u w:val="single"/>
        </w:rPr>
        <w:t>Section 409A of the Code</w:t>
      </w:r>
      <w:r>
        <w:rPr>
          <w:rFonts w:ascii="Times New Roman" w:hAnsi="Times New Roman"/>
          <w:sz w:val="20"/>
        </w:rPr>
        <w:t xml:space="preserve">. This Plan and Awards are intended to comply with or be exempt from the applicable requirements of Section 409A of the Code and shall be limited, construed, and interpreted in accordance with such intent. To the extent that any Award is subject to Section 409A of the Code, it shall be paid in a manner that will comply with Section 409A of the Code. Notwithstanding anything herein to the contrary, any provision in this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 or the Company and, in the event that any amount or benefit under this Plan becomes subject to penalties under Section 409A of the Code, responsibility for payment of such penalties shall rest solely with the affected Participants and not with the Company. Notwithstanding any contrary provision in this Plan or Award Agreement, any payment(s) of “nonqualified deferred compensation” (within the meaning of Section 409A of the Code) that are otherwise required to be made under this Plan to a “specified employee” (as defined under Section 409A of the Code) as a result of such employee’s separation from service (other than a payment that is not subject to Section 409A of the Code) shall be delayed for the first six months following such separation from service (or, if earlier, until the date of death of the specified employee) and shall instead be paid (in a manner set forth in the Award Agreement) upon expiration of such delay period. </w:t>
      </w:r>
    </w:p>
    <w:p>
      <w:pPr>
        <w:pStyle w:val="TextBody"/>
        <w:bidi w:val="0"/>
        <w:spacing w:before="240" w:after="0"/>
        <w:jc w:val="left"/>
        <w:rPr>
          <w:rFonts w:ascii="Times New Roman" w:hAnsi="Times New Roman"/>
          <w:sz w:val="20"/>
        </w:rPr>
      </w:pPr>
      <w:r>
        <w:rPr>
          <w:rFonts w:ascii="Times New Roman" w:hAnsi="Times New Roman"/>
          <w:b/>
          <w:sz w:val="20"/>
        </w:rPr>
        <w:t>13.18</w:t>
      </w:r>
      <w:r>
        <w:rPr>
          <w:rFonts w:ascii="Times New Roman" w:hAnsi="Times New Roman"/>
          <w:sz w:val="20"/>
        </w:rPr>
        <w:t> </w:t>
      </w:r>
      <w:r>
        <w:rPr>
          <w:rFonts w:ascii="Times New Roman" w:hAnsi="Times New Roman"/>
          <w:b/>
          <w:sz w:val="20"/>
          <w:u w:val="single"/>
        </w:rPr>
        <w:t>Data Privacy</w:t>
      </w:r>
      <w:r>
        <w:rPr>
          <w:rFonts w:ascii="Times New Roman" w:hAnsi="Times New Roman"/>
          <w:sz w:val="20"/>
        </w:rPr>
        <w:t>. As a condition of receipt of any Award, each Participant explicitly and unambiguously consents to the collection, use, and transfer, in electronic or other form, of personal data as described in this Section 13.18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Times New Roman" w:hAnsi="Times New Roman"/>
          <w:b/>
          <w:sz w:val="20"/>
          <w:u w:val="single"/>
        </w:rPr>
        <w:t>Data</w:t>
      </w:r>
      <w:r>
        <w:rPr>
          <w:rFonts w:ascii="Times New Roman" w:hAnsi="Times New Roman"/>
          <w:sz w:val="20"/>
        </w:rPr>
        <w:t xml:space="preserve">”). In addition to transferring the Data amongst themselves as necessary for the purpose of implementation, administration, and management of this Plan and Awards and the Participant’s participation in this Plan, the Company and its Affiliates may each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this Plan and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b/>
          <w:sz w:val="20"/>
        </w:rPr>
        <w:t>13.19</w:t>
      </w:r>
      <w:r>
        <w:rPr>
          <w:rFonts w:ascii="Times New Roman" w:hAnsi="Times New Roman"/>
          <w:sz w:val="20"/>
        </w:rPr>
        <w:t> </w:t>
      </w:r>
      <w:r>
        <w:rPr>
          <w:rFonts w:ascii="Times New Roman" w:hAnsi="Times New Roman"/>
          <w:b/>
          <w:sz w:val="20"/>
          <w:u w:val="single"/>
        </w:rPr>
        <w:t>Successor and Assigns</w:t>
      </w:r>
      <w:r>
        <w:rPr>
          <w:rFonts w:ascii="Times New Roman" w:hAnsi="Times New Roman"/>
          <w:sz w:val="20"/>
        </w:rPr>
        <w:t xml:space="preserve">. This Plan shall be binding on all successors and permitted assigns of a Participant, including, without limitation, the estate of such Participant and the executor, administrator, or trustee of such estate.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13.20</w:t>
      </w:r>
      <w:r>
        <w:rPr>
          <w:rFonts w:ascii="Times New Roman" w:hAnsi="Times New Roman"/>
          <w:sz w:val="20"/>
        </w:rPr>
        <w:t> </w:t>
      </w:r>
      <w:r>
        <w:rPr>
          <w:rFonts w:ascii="Times New Roman" w:hAnsi="Times New Roman"/>
          <w:b/>
          <w:sz w:val="20"/>
          <w:u w:val="single"/>
        </w:rPr>
        <w:t>Severability of Provisions</w:t>
      </w:r>
      <w:r>
        <w:rPr>
          <w:rFonts w:ascii="Times New Roman" w:hAnsi="Times New Roman"/>
          <w:sz w:val="20"/>
        </w:rPr>
        <w:t xml:space="preserve">. If any provision of this Plan shall be held invalid or unenforceable, such invalidity or unenforceability shall not affect any other provisions hereof, and this Plan shall be construed and enforced as if such provisions had not been included. </w:t>
      </w:r>
    </w:p>
    <w:p>
      <w:pPr>
        <w:pStyle w:val="TextBody"/>
        <w:bidi w:val="0"/>
        <w:spacing w:before="240" w:after="0"/>
        <w:jc w:val="left"/>
        <w:rPr>
          <w:rFonts w:ascii="Times New Roman" w:hAnsi="Times New Roman"/>
          <w:sz w:val="20"/>
        </w:rPr>
      </w:pPr>
      <w:r>
        <w:rPr>
          <w:rFonts w:ascii="Times New Roman" w:hAnsi="Times New Roman"/>
          <w:b/>
          <w:sz w:val="20"/>
        </w:rPr>
        <w:t>13.21</w:t>
      </w:r>
      <w:r>
        <w:rPr>
          <w:rFonts w:ascii="Times New Roman" w:hAnsi="Times New Roman"/>
          <w:sz w:val="20"/>
        </w:rPr>
        <w:t> </w:t>
      </w:r>
      <w:r>
        <w:rPr>
          <w:rFonts w:ascii="Times New Roman" w:hAnsi="Times New Roman"/>
          <w:b/>
          <w:sz w:val="20"/>
          <w:u w:val="single"/>
        </w:rPr>
        <w:t>Headings and Captions</w:t>
      </w:r>
      <w:r>
        <w:rPr>
          <w:rFonts w:ascii="Times New Roman" w:hAnsi="Times New Roman"/>
          <w:sz w:val="20"/>
        </w:rPr>
        <w:t xml:space="preserve">. The headings and captions herein are provided for reference and convenience only, shall not be considered part of this Plan, and shall not be employed in the construction of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EFFECTIVE DATE OF PLAN </w:t>
      </w:r>
    </w:p>
    <w:p>
      <w:pPr>
        <w:pStyle w:val="TextBody"/>
        <w:bidi w:val="0"/>
        <w:spacing w:before="240" w:after="0"/>
        <w:jc w:val="left"/>
        <w:rPr>
          <w:rFonts w:ascii="Times New Roman" w:hAnsi="Times New Roman"/>
          <w:sz w:val="20"/>
        </w:rPr>
      </w:pPr>
      <w:r>
        <w:rPr>
          <w:rFonts w:ascii="Times New Roman" w:hAnsi="Times New Roman"/>
          <w:sz w:val="20"/>
        </w:rPr>
        <w:t xml:space="preserve">This Plan shall become effective on [    ], which is the date of its adoption by the Board, subject to the approval of this Plan by the stockholders of the Company in accordance with the requirements of the laws of the State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XV </w:t>
      </w:r>
    </w:p>
    <w:p>
      <w:pPr>
        <w:pStyle w:val="TextBody"/>
        <w:bidi w:val="0"/>
        <w:spacing w:before="0" w:after="0"/>
        <w:jc w:val="center"/>
        <w:rPr>
          <w:rFonts w:ascii="Times New Roman" w:hAnsi="Times New Roman"/>
          <w:b/>
          <w:sz w:val="20"/>
        </w:rPr>
      </w:pPr>
      <w:r>
        <w:rPr>
          <w:rFonts w:ascii="Times New Roman" w:hAnsi="Times New Roman"/>
          <w:b/>
          <w:sz w:val="20"/>
        </w:rPr>
        <w:t xml:space="preserve">TERM OF PLAN </w:t>
      </w:r>
    </w:p>
    <w:p>
      <w:pPr>
        <w:pStyle w:val="TextBody"/>
        <w:bidi w:val="0"/>
        <w:spacing w:before="240" w:after="0"/>
        <w:jc w:val="left"/>
        <w:rPr>
          <w:rFonts w:ascii="Times New Roman" w:hAnsi="Times New Roman"/>
          <w:sz w:val="20"/>
        </w:rPr>
      </w:pPr>
      <w:r>
        <w:rPr>
          <w:rFonts w:ascii="Times New Roman" w:hAnsi="Times New Roman"/>
          <w:sz w:val="20"/>
        </w:rPr>
        <w:t xml:space="preserve">No Award shall be granted pursuant to this Plan on or after the 10th anniversary of the earlier of the date that this Plan is adopted or the date of stockholder approval, but Awards granted prior to such 10th anniversary may extend beyond that date. </w:t>
      </w:r>
    </w:p>
    <w:p>
      <w:pPr>
        <w:pStyle w:val="TextBody"/>
        <w:bidi w:val="0"/>
        <w:spacing w:before="240" w:after="0"/>
        <w:jc w:val="center"/>
        <w:rPr>
          <w:rFonts w:ascii="Times New Roman" w:hAnsi="Times New Roman"/>
          <w:b/>
          <w:sz w:val="20"/>
        </w:rPr>
      </w:pPr>
      <w:r>
        <w:rPr>
          <w:rFonts w:ascii="Times New Roman" w:hAnsi="Times New Roman"/>
          <w:b/>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TextBody"/>
        <w:bidi w:val="0"/>
        <w:spacing w:before="0" w:after="0"/>
        <w:jc w:val="right"/>
        <w:rPr>
          <w:rFonts w:ascii="Times New Roman" w:hAnsi="Times New Roman"/>
          <w:b/>
          <w:sz w:val="20"/>
        </w:rPr>
      </w:pPr>
      <w:bookmarkStart w:id="41" w:name="d66194dex1026.htm"/>
      <w:bookmarkStart w:id="42" w:name="ksd66194dex1026"/>
      <w:bookmarkEnd w:id="41"/>
      <w:bookmarkEnd w:id="42"/>
      <w:r>
        <w:rPr>
          <w:rFonts w:ascii="Times New Roman" w:hAnsi="Times New Roman"/>
          <w:b/>
          <w:sz w:val="20"/>
        </w:rPr>
        <w:t xml:space="preserve">EXHIBIT 10.26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FORM OF CREDITOR WARRANT REPURCHASE AGREEMENT </w:t>
      </w:r>
    </w:p>
    <w:p>
      <w:pPr>
        <w:pStyle w:val="TextBody"/>
        <w:bidi w:val="0"/>
        <w:spacing w:before="240" w:after="0"/>
        <w:jc w:val="left"/>
        <w:rPr>
          <w:rFonts w:ascii="Times New Roman" w:hAnsi="Times New Roman"/>
          <w:sz w:val="20"/>
        </w:rPr>
      </w:pPr>
      <w:r>
        <w:rPr>
          <w:rFonts w:ascii="Times New Roman" w:hAnsi="Times New Roman"/>
          <w:sz w:val="20"/>
        </w:rPr>
        <w:t>This Creditor Warrant Repurchase Agreement (this “</w:t>
      </w:r>
      <w:r>
        <w:rPr>
          <w:rFonts w:ascii="Times New Roman" w:hAnsi="Times New Roman"/>
          <w:b/>
          <w:sz w:val="20"/>
        </w:rPr>
        <w:t>Agreement</w:t>
      </w:r>
      <w:r>
        <w:rPr>
          <w:rFonts w:ascii="Times New Roman" w:hAnsi="Times New Roman"/>
          <w:sz w:val="20"/>
        </w:rPr>
        <w:t>”) is made and entered into as of [], 2026 by and between Hornbeck Offshore Services, Inc., a Delaware corporation (the “</w:t>
      </w:r>
      <w:r>
        <w:rPr>
          <w:rFonts w:ascii="Times New Roman" w:hAnsi="Times New Roman"/>
          <w:b/>
          <w:sz w:val="20"/>
        </w:rPr>
        <w:t>Company</w:t>
      </w:r>
      <w:r>
        <w:rPr>
          <w:rFonts w:ascii="Times New Roman" w:hAnsi="Times New Roman"/>
          <w:sz w:val="20"/>
        </w:rPr>
        <w:t>”), and [] (the “</w:t>
      </w:r>
      <w:r>
        <w:rPr>
          <w:rFonts w:ascii="Times New Roman" w:hAnsi="Times New Roman"/>
          <w:b/>
          <w:sz w:val="20"/>
        </w:rPr>
        <w:t>Seller</w:t>
      </w:r>
      <w:r>
        <w:rPr>
          <w:rFonts w:ascii="Times New Roman" w:hAnsi="Times New Roman"/>
          <w:sz w:val="20"/>
        </w:rPr>
        <w:t>”). Each of the Company and the Seller are hereinafter individually referred to as a “</w:t>
      </w:r>
      <w:r>
        <w:rPr>
          <w:rFonts w:ascii="Times New Roman" w:hAnsi="Times New Roman"/>
          <w:b/>
          <w:sz w:val="20"/>
        </w:rPr>
        <w:t>party</w:t>
      </w:r>
      <w:r>
        <w:rPr>
          <w:rFonts w:ascii="Times New Roman" w:hAnsi="Times New Roman"/>
          <w:sz w:val="20"/>
        </w:rPr>
        <w:t>” and collectively referred to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PRELIMINARY STATEMENTS </w:t>
      </w:r>
    </w:p>
    <w:p>
      <w:pPr>
        <w:pStyle w:val="TextBody"/>
        <w:bidi w:val="0"/>
        <w:spacing w:before="240" w:after="0"/>
        <w:jc w:val="left"/>
        <w:rPr>
          <w:rFonts w:ascii="Times New Roman" w:hAnsi="Times New Roman"/>
          <w:sz w:val="20"/>
        </w:rPr>
      </w:pPr>
      <w:r>
        <w:rPr>
          <w:rFonts w:ascii="Times New Roman" w:hAnsi="Times New Roman"/>
          <w:sz w:val="20"/>
        </w:rPr>
        <w:t>A. The Seller owns [] warrants to purchase common stock, par value $0.00001 per share (“</w:t>
      </w:r>
      <w:r>
        <w:rPr>
          <w:rFonts w:ascii="Times New Roman" w:hAnsi="Times New Roman"/>
          <w:b/>
          <w:sz w:val="20"/>
        </w:rPr>
        <w:t>Common Stock</w:t>
      </w:r>
      <w:r>
        <w:rPr>
          <w:rFonts w:ascii="Times New Roman" w:hAnsi="Times New Roman"/>
          <w:sz w:val="20"/>
        </w:rPr>
        <w:t>”), governed by that certain Creditor Warrant Agreement, dated as of September 4, 2020 (as amended, modified or supplemented from time to time, the “</w:t>
      </w:r>
      <w:r>
        <w:rPr>
          <w:rFonts w:ascii="Times New Roman" w:hAnsi="Times New Roman"/>
          <w:b/>
          <w:sz w:val="20"/>
        </w:rPr>
        <w:t>Warrant Agreement</w:t>
      </w:r>
      <w:r>
        <w:rPr>
          <w:rFonts w:ascii="Times New Roman" w:hAnsi="Times New Roman"/>
          <w:sz w:val="20"/>
        </w:rPr>
        <w:t>”; such warrants governed thereby, “</w:t>
      </w:r>
      <w:r>
        <w:rPr>
          <w:rFonts w:ascii="Times New Roman" w:hAnsi="Times New Roman"/>
          <w:b/>
          <w:sz w:val="20"/>
        </w:rPr>
        <w:t>Warrants</w:t>
      </w:r>
      <w:r>
        <w:rPr>
          <w:rFonts w:ascii="Times New Roman" w:hAnsi="Times New Roman"/>
          <w:sz w:val="20"/>
        </w:rPr>
        <w:t>”), between Computershare, Inc. and Computershare Trust Company, N.A. (collectively, the “</w:t>
      </w:r>
      <w:r>
        <w:rPr>
          <w:rFonts w:ascii="Times New Roman" w:hAnsi="Times New Roman"/>
          <w:b/>
          <w:sz w:val="20"/>
        </w:rPr>
        <w:t>Warrant Agent</w:t>
      </w:r>
      <w:r>
        <w:rPr>
          <w:rFonts w:ascii="Times New Roman" w:hAnsi="Times New Roman"/>
          <w:sz w:val="20"/>
        </w:rPr>
        <w:t xml:space="preserve">”) and the Company. </w:t>
      </w:r>
    </w:p>
    <w:p>
      <w:pPr>
        <w:pStyle w:val="TextBody"/>
        <w:bidi w:val="0"/>
        <w:spacing w:before="240" w:after="0"/>
        <w:jc w:val="left"/>
        <w:rPr>
          <w:rFonts w:ascii="Times New Roman" w:hAnsi="Times New Roman"/>
          <w:sz w:val="20"/>
        </w:rPr>
      </w:pPr>
      <w:r>
        <w:rPr>
          <w:rFonts w:ascii="Times New Roman" w:hAnsi="Times New Roman"/>
          <w:sz w:val="20"/>
        </w:rPr>
        <w:t>B. The Company intends to complete an underwritten initial public offering of its Common Stock (the “</w:t>
      </w:r>
      <w:r>
        <w:rPr>
          <w:rFonts w:ascii="Times New Roman" w:hAnsi="Times New Roman"/>
          <w:b/>
          <w:sz w:val="20"/>
        </w:rPr>
        <w:t>IPO</w:t>
      </w:r>
      <w:r>
        <w:rPr>
          <w:rFonts w:ascii="Times New Roman" w:hAnsi="Times New Roman"/>
          <w:sz w:val="20"/>
        </w:rPr>
        <w:t>”) and has filed a registration statement on Form S-1 (File No. 333-275939) (as amended, the “</w:t>
      </w:r>
      <w:r>
        <w:rPr>
          <w:rFonts w:ascii="Times New Roman" w:hAnsi="Times New Roman"/>
          <w:b/>
          <w:sz w:val="20"/>
        </w:rPr>
        <w:t>Registration Statement</w:t>
      </w:r>
      <w:r>
        <w:rPr>
          <w:rFonts w:ascii="Times New Roman" w:hAnsi="Times New Roman"/>
          <w:sz w:val="20"/>
        </w:rPr>
        <w:t>”) with the Securities and Exchange Commission (the “</w:t>
      </w:r>
      <w:r>
        <w:rPr>
          <w:rFonts w:ascii="Times New Roman" w:hAnsi="Times New Roman"/>
          <w:b/>
          <w:sz w:val="20"/>
        </w:rPr>
        <w:t>Commission</w:t>
      </w:r>
      <w:r>
        <w:rPr>
          <w:rFonts w:ascii="Times New Roman" w:hAnsi="Times New Roman"/>
          <w:sz w:val="20"/>
        </w:rPr>
        <w:t xml:space="preserve">”) in connection therewith. </w:t>
      </w:r>
    </w:p>
    <w:p>
      <w:pPr>
        <w:pStyle w:val="TextBody"/>
        <w:bidi w:val="0"/>
        <w:spacing w:before="240" w:after="0"/>
        <w:jc w:val="left"/>
        <w:rPr>
          <w:rFonts w:ascii="Times New Roman" w:hAnsi="Times New Roman"/>
          <w:sz w:val="20"/>
        </w:rPr>
      </w:pPr>
      <w:r>
        <w:rPr>
          <w:rFonts w:ascii="Times New Roman" w:hAnsi="Times New Roman"/>
          <w:sz w:val="20"/>
        </w:rPr>
        <w:t>C. In connection with the IPO, Company intends to effect a []-for-one split of its Common Stock following the effectiveness of the Registration Statement and prior to the Closing (as defined below) which will result in adjustments to the Warrants in accordance with the Warrant Agreement such that each outstanding Warrant shall become exercisable for [] shares (such number of shares, the “</w:t>
      </w:r>
      <w:r>
        <w:rPr>
          <w:rFonts w:ascii="Times New Roman" w:hAnsi="Times New Roman"/>
          <w:b/>
          <w:sz w:val="20"/>
        </w:rPr>
        <w:t>Adjusted Warrant Share Number</w:t>
      </w:r>
      <w:r>
        <w:rPr>
          <w:rFonts w:ascii="Times New Roman" w:hAnsi="Times New Roman"/>
          <w:sz w:val="20"/>
        </w:rPr>
        <w:t>”) of Common Stock (such shares issuable upon exercise, “</w:t>
      </w:r>
      <w:r>
        <w:rPr>
          <w:rFonts w:ascii="Times New Roman" w:hAnsi="Times New Roman"/>
          <w:b/>
          <w:sz w:val="20"/>
        </w:rPr>
        <w:t>Warrant Shares</w:t>
      </w:r>
      <w:r>
        <w:rPr>
          <w:rFonts w:ascii="Times New Roman" w:hAnsi="Times New Roman"/>
          <w:sz w:val="20"/>
        </w:rPr>
        <w:t>”), at an exercise price of $[] per Warrant Share (the “</w:t>
      </w:r>
      <w:r>
        <w:rPr>
          <w:rFonts w:ascii="Times New Roman" w:hAnsi="Times New Roman"/>
          <w:b/>
          <w:sz w:val="20"/>
        </w:rPr>
        <w:t>Adjusted Exercise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intends to issue shares of Common Stock in the IPO on terms set forth on </w:t>
      </w:r>
      <w:r>
        <w:rPr>
          <w:rFonts w:ascii="Times New Roman" w:hAnsi="Times New Roman"/>
          <w:sz w:val="20"/>
          <w:u w:val="single"/>
        </w:rPr>
        <w:t>Schedule I</w:t>
      </w:r>
      <w:r>
        <w:rPr>
          <w:rFonts w:ascii="Times New Roman" w:hAnsi="Times New Roman"/>
          <w:sz w:val="20"/>
        </w:rPr>
        <w:t xml:space="preserve"> hereto pursuant to an underwriting agreement, executed concurrently with this Agreement (the “</w:t>
      </w:r>
      <w:r>
        <w:rPr>
          <w:rFonts w:ascii="Times New Roman" w:hAnsi="Times New Roman"/>
          <w:b/>
          <w:sz w:val="20"/>
        </w:rPr>
        <w:t>Underwriting Agreement</w:t>
      </w:r>
      <w:r>
        <w:rPr>
          <w:rFonts w:ascii="Times New Roman" w:hAnsi="Times New Roman"/>
          <w:sz w:val="20"/>
        </w:rPr>
        <w:t>”), by and among the Company and J.P. Morgan Securities LLC and Barclays Capital Inc., as representatives of the several underwriters named on Schedule 1 thereto (the “</w:t>
      </w:r>
      <w:r>
        <w:rPr>
          <w:rFonts w:ascii="Times New Roman" w:hAnsi="Times New Roman"/>
          <w:b/>
          <w:sz w:val="20"/>
        </w:rPr>
        <w:t>Underwriters</w:t>
      </w:r>
      <w:r>
        <w:rPr>
          <w:rFonts w:ascii="Times New Roman" w:hAnsi="Times New Roman"/>
          <w:sz w:val="20"/>
        </w:rPr>
        <w:t>”), and to use a portion of the proceeds therefrom to repurchase from the Seller [] Warrants (the “</w:t>
      </w:r>
      <w:r>
        <w:rPr>
          <w:rFonts w:ascii="Times New Roman" w:hAnsi="Times New Roman"/>
          <w:b/>
          <w:sz w:val="20"/>
        </w:rPr>
        <w:t>Repurchased Warrants</w:t>
      </w:r>
      <w:r>
        <w:rPr>
          <w:rFonts w:ascii="Times New Roman" w:hAnsi="Times New Roman"/>
          <w:sz w:val="20"/>
        </w:rPr>
        <w:t>”) on the terms and conditions set forth in this Agreement (such mutual agreement to purchase, transfer and sell the Repurchased Warrants being herein referred to as the “</w:t>
      </w:r>
      <w:r>
        <w:rPr>
          <w:rFonts w:ascii="Times New Roman" w:hAnsi="Times New Roman"/>
          <w:b/>
          <w:sz w:val="20"/>
        </w:rPr>
        <w:t>Repurchase</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premises and of the mutual representations, warranties, covenants and agreements contained herein,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Purchase and Sale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Purchase of Repurchased Warrants</w:t>
      </w:r>
      <w:r>
        <w:rPr>
          <w:rFonts w:ascii="Times New Roman" w:hAnsi="Times New Roman"/>
          <w:sz w:val="20"/>
        </w:rPr>
        <w:t xml:space="preserve">. The Seller hereby irrevocably agrees to sell, assign and transfer the Repurchased Warrants to the Company, and the Company irrevocably agrees to purchase the Repurchased Warrants from the Seller, in each case, on the terms and subject to the conditions in this Agreement. At the Closing, in full consideration of the Repurchase of the Repurchased Warrants sold at such Closing, the Company shall pay to the Seller for each such Repurchased Warrant cash via wire transfer in “same-day” funds an amount equal to the product of (i) the Purchase Price (as defined in the Underwriting Agreement) payable by the Underwriters pursuant to the Underwriting Agreement, </w:t>
      </w:r>
      <w:r>
        <w:rPr>
          <w:rFonts w:ascii="Times New Roman" w:hAnsi="Times New Roman"/>
          <w:i/>
          <w:sz w:val="20"/>
        </w:rPr>
        <w:t>less</w:t>
      </w:r>
      <w:r>
        <w:rPr>
          <w:rFonts w:ascii="Times New Roman" w:hAnsi="Times New Roman"/>
          <w:sz w:val="20"/>
        </w:rPr>
        <w:t xml:space="preserve"> the Adjusted Exercise Price, </w:t>
      </w:r>
      <w:r>
        <w:rPr>
          <w:rFonts w:ascii="Times New Roman" w:hAnsi="Times New Roman"/>
          <w:i/>
          <w:sz w:val="20"/>
        </w:rPr>
        <w:t>multiplied</w:t>
      </w:r>
      <w:r>
        <w:rPr>
          <w:rFonts w:ascii="Times New Roman" w:hAnsi="Times New Roman"/>
          <w:sz w:val="20"/>
        </w:rPr>
        <w:t xml:space="preserve"> by (ii) Adjusted Warrant Share Number, with respect to such Repurchased Warrant (the “</w:t>
      </w:r>
      <w:r>
        <w:rPr>
          <w:rFonts w:ascii="Times New Roman" w:hAnsi="Times New Roman"/>
          <w:b/>
          <w:sz w:val="20"/>
        </w:rPr>
        <w:t>Warrant Purchase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 xml:space="preserve">Delivery of Warrants in Escrow to </w:t>
      </w:r>
      <w:r>
        <w:rPr>
          <w:rFonts w:ascii="Times New Roman" w:hAnsi="Times New Roman"/>
          <w:sz w:val="20"/>
        </w:rPr>
        <w:t>Custodian. Concurrently with the execution of this Agreement, the Seller shall deliver the Repurchased Warrants (the “</w:t>
      </w:r>
      <w:r>
        <w:rPr>
          <w:rFonts w:ascii="Times New Roman" w:hAnsi="Times New Roman"/>
          <w:b/>
          <w:sz w:val="20"/>
        </w:rPr>
        <w:t>Escrowed Warrants</w:t>
      </w:r>
      <w:r>
        <w:rPr>
          <w:rFonts w:ascii="Times New Roman" w:hAnsi="Times New Roman"/>
          <w:sz w:val="20"/>
        </w:rPr>
        <w:t>”) to the Custodian (as defined below) to be held in escrow pursuant to the terms and subject to the conditions of a custody agreement by and among the Seller, the other selling securityholders party thereto, the Company and the Warrant Agent, as custodian (in such capacity and/or in its capacity as warrant agent under Warrant Agreement, as applicable, the “</w:t>
      </w:r>
      <w:r>
        <w:rPr>
          <w:rFonts w:ascii="Times New Roman" w:hAnsi="Times New Roman"/>
          <w:b/>
          <w:sz w:val="20"/>
        </w:rPr>
        <w:t>Custodian</w:t>
      </w:r>
      <w:r>
        <w:rPr>
          <w:rFonts w:ascii="Times New Roman" w:hAnsi="Times New Roman"/>
          <w:sz w:val="20"/>
        </w:rPr>
        <w:t>”), dated as of the date hereof (the “</w:t>
      </w:r>
      <w:r>
        <w:rPr>
          <w:rFonts w:ascii="Times New Roman" w:hAnsi="Times New Roman"/>
          <w:b/>
          <w:sz w:val="20"/>
        </w:rPr>
        <w:t>Custody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 Exercise or Disposal of Warrants</w:t>
      </w:r>
      <w:r>
        <w:rPr>
          <w:rFonts w:ascii="Times New Roman" w:hAnsi="Times New Roman"/>
          <w:sz w:val="20"/>
        </w:rPr>
        <w:t xml:space="preserve">. From and after the date hereof until the termination of this Agreement in accordance with its terms, the Seller agrees not to, directly or indirectly, (i) exercise the Escrowed Warrants in accordance with their terms and/or (ii) sell, assign, transfer, pledge, hypothecate, make gifts of or in any manner whatsoever dispose of or encumber any of the Escrowed Warrants, in each case without the prior written consent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closing of the Repurchase contemplated by this Agreement (the “</w:t>
      </w:r>
      <w:r>
        <w:rPr>
          <w:rFonts w:ascii="Times New Roman" w:hAnsi="Times New Roman"/>
          <w:b/>
          <w:sz w:val="20"/>
        </w:rPr>
        <w:t>Closing</w:t>
      </w:r>
      <w:r>
        <w:rPr>
          <w:rFonts w:ascii="Times New Roman" w:hAnsi="Times New Roman"/>
          <w:sz w:val="20"/>
        </w:rPr>
        <w:t xml:space="preserve">”) is expressly conditioned on the delivery of each deliverable set forth in </w:t>
      </w:r>
      <w:r>
        <w:rPr>
          <w:rFonts w:ascii="Times New Roman" w:hAnsi="Times New Roman"/>
          <w:sz w:val="20"/>
          <w:u w:val="single"/>
        </w:rPr>
        <w:t>Section 1.4(b</w:t>
      </w:r>
      <w:r>
        <w:rPr>
          <w:rFonts w:ascii="Times New Roman" w:hAnsi="Times New Roman"/>
          <w:sz w:val="20"/>
        </w:rPr>
        <w:t xml:space="preserve">) and shall occur immediately following the consummation of the IPO in accordance with the terms and conditions of the Underwriting Agreement, including the Company’s receipt of the aggregate proceeds from the Company’s sale of Common Stock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(b) At the Closing: </w:t>
      </w:r>
    </w:p>
    <w:p>
      <w:pPr>
        <w:pStyle w:val="TextBody"/>
        <w:bidi w:val="0"/>
        <w:spacing w:before="120" w:after="0"/>
        <w:jc w:val="left"/>
        <w:rPr>
          <w:rFonts w:ascii="Times New Roman" w:hAnsi="Times New Roman"/>
          <w:sz w:val="20"/>
        </w:rPr>
      </w:pPr>
      <w:r>
        <w:rPr>
          <w:rFonts w:ascii="Times New Roman" w:hAnsi="Times New Roman"/>
          <w:sz w:val="20"/>
        </w:rPr>
        <w:t xml:space="preserve">(i) Seller shall cause the Custodian to release from escrow, transfer and deliver to the Company for cancellation the number of the Repurchased Warrants by delivering to the Company and the Custodian the instructions set forth on </w:t>
      </w:r>
      <w:r>
        <w:rPr>
          <w:rFonts w:ascii="Times New Roman" w:hAnsi="Times New Roman"/>
          <w:sz w:val="20"/>
          <w:u w:val="single"/>
        </w:rPr>
        <w:t>Exhibit A</w:t>
      </w:r>
      <w:r>
        <w:rPr>
          <w:rFonts w:ascii="Times New Roman" w:hAnsi="Times New Roman"/>
          <w:sz w:val="20"/>
        </w:rPr>
        <w:t xml:space="preserve"> hereto. Upon such transfer and delivery to the Company, the Repurchased Warrants so transferred shall terminate and no longer be of any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deposit, or cause to be deposited, with the Custodian the aggregate Warrant Purchase Price for such Repurchased Warrants in cash via wire transfer in “same-day” funds, which funds are to be disbursed by the Custodian in accordance with the terms of the Custody Agreement (it being understood that receipt by Seller of such disbursement from the Custodian shall not be a condition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Seller’s Obligation to Close</w:t>
      </w:r>
      <w:r>
        <w:rPr>
          <w:rFonts w:ascii="Times New Roman" w:hAnsi="Times New Roman"/>
          <w:sz w:val="20"/>
        </w:rPr>
        <w:t xml:space="preserve">. Notwithstanding anything to the contrary in this Agreement, unless otherwise consented to in writing by the Seller, the Seller shall have no obligation to complete the Closing or consummate any Repurchase if the IPO is consummated on terms that would result in a lower Warrant Purchase Price than is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Release From Escrow</w:t>
      </w:r>
      <w:r>
        <w:rPr>
          <w:rFonts w:ascii="Times New Roman" w:hAnsi="Times New Roman"/>
          <w:sz w:val="20"/>
        </w:rPr>
        <w:t>. Upon the earliest to occur of (such occurrence, an “</w:t>
      </w:r>
      <w:r>
        <w:rPr>
          <w:rFonts w:ascii="Times New Roman" w:hAnsi="Times New Roman"/>
          <w:b/>
          <w:sz w:val="20"/>
        </w:rPr>
        <w:t>Escrow Termination Event</w:t>
      </w:r>
      <w:r>
        <w:rPr>
          <w:rFonts w:ascii="Times New Roman" w:hAnsi="Times New Roman"/>
          <w:sz w:val="20"/>
        </w:rPr>
        <w:t xml:space="preserve">”) (a) termination of this Agreement in accordance with its terms or (b) termination of the Underwriting Agreement in accordance with its terms, any Escrowed Warrants then held in escrow pursuant to the Custody Agreement and not previously repurchased by the Company in a Closing shall be released from escrow and returned to Seller in accordance with the Custody Agreement. To effect such release, upon the occurrence of an Escrow Termination Event, Seller may deliver written instructions to the Custodian certifying that an Escrow Termination Event has occurred and instructing the Custodian to release and transfer to Seller any Escrowed Warrants then held in escrow pursuant to the Custody Agreement and not previously repurchased by the Company in a Closing. Such instruction shall be sufficient, in and of itself, to cause the Custodian to so release and transfer such Escrowed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Seller</w:t>
      </w:r>
      <w:r>
        <w:rPr>
          <w:rFonts w:ascii="Times New Roman" w:hAnsi="Times New Roman"/>
          <w:sz w:val="20"/>
        </w:rPr>
        <w:t xml:space="preserve">. The Seller represents and warrants to the Company, on the date hereof and as of immediately prior to the Closing, as follows: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Authorization</w:t>
      </w:r>
      <w:r>
        <w:rPr>
          <w:rFonts w:ascii="Times New Roman" w:hAnsi="Times New Roman"/>
          <w:sz w:val="20"/>
        </w:rPr>
        <w:t>. The Seller is an entity duly organized, validly existing and in good standing under the laws of the jurisdiction of its formation with all requisite business entity power and authority to own, lease and operate its properties and to carry on its business as now being conducted. The Seller has all requisite business entity power to execute and deliver this Agreement and all other agreements and documents contemplated hereby and to perform the Seller’s obligations thereunder. This Agreement has been duly executed and delivered by, and constitutes the valid and binding obligation of, the Seller, enforceable in accordance with its terms, except that (a) such enforcement may be subject to bankruptcy, insolvency, reorganization, moratorium or similar laws affecting creditors’ rights generally or (b) the remedy of specific performance and injunctive relief are subject to certain equitable defenses and to the discretion of the court before which any proceedings may be brought (the “</w:t>
      </w:r>
      <w:r>
        <w:rPr>
          <w:rFonts w:ascii="Times New Roman" w:hAnsi="Times New Roman"/>
          <w:b/>
          <w:sz w:val="20"/>
        </w:rPr>
        <w:t>Equitable Exceptions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Warrants</w:t>
      </w:r>
      <w:r>
        <w:rPr>
          <w:rFonts w:ascii="Times New Roman" w:hAnsi="Times New Roman"/>
          <w:sz w:val="20"/>
        </w:rPr>
        <w:t>. The Seller owns of record and beneficially good and valid title to the Escrowed Warrants, free and clear of any and all liens, mortgages, security interests, encumbrances, pledges, charges, adverse claims, options, rights or restrictions of any character whatsoever other than (a) standard state and federal securities law private offering legends and restrictions, (b) those created by the bylaws or certificate of incorporation of the Company (collectively, as they may be amended, amended and restated or otherwise modified from time to time, the “</w:t>
      </w:r>
      <w:r>
        <w:rPr>
          <w:rFonts w:ascii="Times New Roman" w:hAnsi="Times New Roman"/>
          <w:b/>
          <w:sz w:val="20"/>
        </w:rPr>
        <w:t>Company Organizational Documents</w:t>
      </w:r>
      <w:r>
        <w:rPr>
          <w:rFonts w:ascii="Times New Roman" w:hAnsi="Times New Roman"/>
          <w:sz w:val="20"/>
        </w:rPr>
        <w:t>”), the Warrant Agreement, the securityholders agreement, dated as of September 4, 2020, by and among the Company, the Seller and the other parties thereto (as amended, the “</w:t>
      </w:r>
      <w:r>
        <w:rPr>
          <w:rFonts w:ascii="Times New Roman" w:hAnsi="Times New Roman"/>
          <w:b/>
          <w:sz w:val="20"/>
        </w:rPr>
        <w:t>Securityholders Agreement</w:t>
      </w:r>
      <w:r>
        <w:rPr>
          <w:rFonts w:ascii="Times New Roman" w:hAnsi="Times New Roman"/>
          <w:sz w:val="20"/>
        </w:rPr>
        <w:t>”), any underwriting agreement or other agreement entered into in connection with the IPO, or this Agreement and the agreements and other documents contemplated hereby, or (c) those arising from acts of the Company or its affiliates (collectively, “</w:t>
      </w:r>
      <w:r>
        <w:rPr>
          <w:rFonts w:ascii="Times New Roman" w:hAnsi="Times New Roman"/>
          <w:b/>
          <w:sz w:val="20"/>
        </w:rPr>
        <w:t>Liens</w:t>
      </w:r>
      <w:r>
        <w:rPr>
          <w:rFonts w:ascii="Times New Roman" w:hAnsi="Times New Roman"/>
          <w:sz w:val="20"/>
        </w:rPr>
        <w:t xml:space="preserve">”). Delivery to the Company of the Repurchased Warrants, upon payment therefor, will convey good and valid title to such Repurchased Warrants to the Company, free and clear of all Liens.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No Violations</w:t>
      </w:r>
      <w:r>
        <w:rPr>
          <w:rFonts w:ascii="Times New Roman" w:hAnsi="Times New Roman"/>
          <w:sz w:val="20"/>
        </w:rPr>
        <w:t xml:space="preserve">. The execution, delivery and performance by the Seller of this Agreement and the other agreements and documents contemplated hereby and the consummation by the Seller of the transactions contemplated hereby will not (a) violate any statute, rule, regulation, order or decree of any public body or authority by which the Seller or the Repurchased Warrants are bound or (b) result in a violation or breach of, or constitute a default under, or result in the creation of any Lien upon, or create any rights of termination, cancellation or acceleration in any person with respect to any agreement, contract, license, franchise, permit, indenture, mortgage or instrument to which the Seller is a party or by which the Repurchased Warrants are bound, except, with respect to clauses (a) and (b), as would not reasonably be expected to impair Seller’s ability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Consents</w:t>
      </w:r>
      <w:r>
        <w:rPr>
          <w:rFonts w:ascii="Times New Roman" w:hAnsi="Times New Roman"/>
          <w:sz w:val="20"/>
        </w:rPr>
        <w:t xml:space="preserve">. Except as may be required under the Warrant Agreement, the Company Organizational Documents or the Securityholders Agreement, no consent, approval or other authorization of any governmental authority or under any contract or other agreement or commitment to which the Seller is a party or by which the Seller or the Repurchased Warrants are bound is required for the execution or delivery of this Agreement and the other agreements and documents to be executed by the Seller or the consummation by the Seller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Receipt of Information</w:t>
      </w:r>
      <w:r>
        <w:rPr>
          <w:rFonts w:ascii="Times New Roman" w:hAnsi="Times New Roman"/>
          <w:sz w:val="20"/>
        </w:rPr>
        <w:t xml:space="preserve">. The Seller has received all the information that it considers necessary or appropriate for deciding whether to enter into this Agreement and perform the obligations set forth herein. The Seller hereby represents that the Seller has had an opportunity to ask questions and receive answers from the Company regarding the terms and conditions of the Company’s purchase of the Repurchased Warrants and the business and financial condition of the Company and to obtain additional information (to the extent the Company possessed such information or could acquire it without unreasonable effort or expense) necessary to verify the accuracy of any information furnished to them or to which they had access.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Seller, on the date hereof and as of immediately prior to the Closing, as follows: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and Authorization</w:t>
      </w:r>
      <w:r>
        <w:rPr>
          <w:rFonts w:ascii="Times New Roman" w:hAnsi="Times New Roman"/>
          <w:sz w:val="20"/>
        </w:rPr>
        <w:t xml:space="preserve">. The Company is a corporation duly organized, validly existing and in good standing under the laws of the State of Delaware with all requisite corporate power and authority to own, lease and operate its properties and to carry on its business as now being conducted. The Company has all requisite corporate power to execute and deliver this Agreement and all other agreements and documents contemplated hereby and perform its obligations thereunder. The execution and delivery of this Agreement and such other agreements and documents by the Company and the consummation by the Company of the transactions contemplated hereby have been duly authorized by the Company and no other corporate action on the part of the Company is necessary to authorize the transactions contemplated hereby. This Agreement has been duly executed and delivered by the Company and constitutes the valid and binding obligation of the Company, enforceable in accordance with its terms, subject to the Equitable Exceptions.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No Violations</w:t>
      </w:r>
      <w:r>
        <w:rPr>
          <w:rFonts w:ascii="Times New Roman" w:hAnsi="Times New Roman"/>
          <w:sz w:val="20"/>
        </w:rPr>
        <w:t xml:space="preserve">. The execution and delivery of this Agreement and the other agreements and documents contemplated hereby by the Company and the consummation by the Company of the transactions contemplated hereby will not (a) violate any provision of the Company Organizational Documents, (b) violate any statute, rule, regulation, order or decree of any public body or authority by which the Company or its properties or assets are bound, or (c) result in a violation or breach of, or constitute a default under or result in the creation of any Lien upon, or create any rights of termination, cancellation or acceleration in any person with respect to any agreement, contract, indenture, mortgage or instrument to which the Company is a party or any of its properties or assets is bound.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Consents</w:t>
      </w:r>
      <w:r>
        <w:rPr>
          <w:rFonts w:ascii="Times New Roman" w:hAnsi="Times New Roman"/>
          <w:sz w:val="20"/>
        </w:rPr>
        <w:t xml:space="preserve">. Except as may be required under the Warrant Agreement, the Company Organizational Documents or the Securityholders Agreement, no consent, approval or other authorization of any governmental authority or under any contract or other agreement or commitment to which the Company is a party or by which the Company is bound is required for the execution or delivery of this Agreement and the other agreements and documents to be executed by the Company or the consummation by the Company of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Additional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No Further Rights or Obligations</w:t>
      </w:r>
      <w:r>
        <w:rPr>
          <w:rFonts w:ascii="Times New Roman" w:hAnsi="Times New Roman"/>
          <w:sz w:val="20"/>
        </w:rPr>
        <w:t xml:space="preserve">. Effective as of the Closing and upon receipt of the aggregate Warrant Purchase Price by the Custodian in accordance with Section 1.4 of this Agreement, except for any rights or remedies resulting from or relating to this Agreement or the transactions contemplated hereby, the Seller shall not have any further rights or obligations under the Repurchased Warrants sold at such Closing or with respect to any shares of Common Stock issuable thereunder.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FIRPTA Certificate</w:t>
      </w:r>
      <w:r>
        <w:rPr>
          <w:rFonts w:ascii="Times New Roman" w:hAnsi="Times New Roman"/>
          <w:sz w:val="20"/>
        </w:rPr>
        <w:t xml:space="preserve">. Concurrently with the execution of this Agreement, the Company shall provide to Seller the certificate described in U.S. Treasury Regulations Sections 1.1445-2(c)(3) and 1.897-2(h), which states that the Repurchased Warrants are not U.S. real property interests and provide a copy of such statement to the U.S. Internal Revenue Service as required by such regulations. </w:t>
      </w:r>
    </w:p>
    <w:p>
      <w:pPr>
        <w:pStyle w:val="TextBody"/>
        <w:bidi w:val="0"/>
        <w:spacing w:before="12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Withholding</w:t>
      </w:r>
      <w:r>
        <w:rPr>
          <w:rFonts w:ascii="Times New Roman" w:hAnsi="Times New Roman"/>
          <w:sz w:val="20"/>
        </w:rPr>
        <w:t xml:space="preserve">. The Company shall be entitled to deduct and withhold (or shall cause to be deducted or withheld) from the Warrant Purchase Price otherwise payable under this Agreement such amounts as are required to be withheld or deducted under applicable law; </w:t>
      </w:r>
      <w:r>
        <w:rPr>
          <w:rFonts w:ascii="Times New Roman" w:hAnsi="Times New Roman"/>
          <w:i/>
          <w:sz w:val="20"/>
        </w:rPr>
        <w:t>provided, however</w:t>
      </w:r>
      <w:r>
        <w:rPr>
          <w:rFonts w:ascii="Times New Roman" w:hAnsi="Times New Roman"/>
          <w:sz w:val="20"/>
        </w:rPr>
        <w:t xml:space="preserve">, that the Company agrees to reasonably cooperate with any steps taken by the Seller to reduce or eliminate any withholding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Issuance of Form 8-K</w:t>
      </w:r>
      <w:r>
        <w:rPr>
          <w:rFonts w:ascii="Times New Roman" w:hAnsi="Times New Roman"/>
          <w:sz w:val="20"/>
        </w:rPr>
        <w:t xml:space="preserve">. Within four business days of the Closing, the Company shall file a Current Report on Form 8-K with the Commission disclosing all material terms of the transaction contemplated hereunder and the Closing. </w:t>
      </w:r>
    </w:p>
    <w:p>
      <w:pPr>
        <w:pStyle w:val="TextBody"/>
        <w:bidi w:val="0"/>
        <w:spacing w:before="12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Certain Notifications</w:t>
      </w:r>
      <w:r>
        <w:rPr>
          <w:rFonts w:ascii="Times New Roman" w:hAnsi="Times New Roman"/>
          <w:sz w:val="20"/>
        </w:rPr>
        <w:t xml:space="preserve">. The Company shall promptly notify Seller in writing of any (i) amendment of, or waiver or failure to enforce any right of the Company under, the Underwriting Agreement, and (ii) event, action, fact or circumstance the existence, occurrence or taking of which has had or could reasonably be expected to have an adverse effect on, delay the closing of, or result in the failure of any condition to the closing of, the IPO under the Underwriting Agreement or the Closing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General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Entire Agreement</w:t>
      </w:r>
      <w:r>
        <w:rPr>
          <w:rFonts w:ascii="Times New Roman" w:hAnsi="Times New Roman"/>
          <w:sz w:val="20"/>
        </w:rPr>
        <w:t xml:space="preserve">. This Agreement (including the exhibit hereto) constitute the entire agreement and supersede all prior agreements and understandings, both written and oral, between the parties with respect to the Repurchases.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Successors and Assigns</w:t>
      </w:r>
      <w:r>
        <w:rPr>
          <w:rFonts w:ascii="Times New Roman" w:hAnsi="Times New Roman"/>
          <w:sz w:val="20"/>
        </w:rPr>
        <w:t xml:space="preserve">. The terms and conditions of this Agreement shall inure to the benefit of and be binding upon the parties and their respective successors and permitted assigns. Neither this Agreement nor any rights, interests or obligations hereunder may be assigned by any party without the prior written consent of the other party, and any purported assignment in violation of this Section shall be null and void.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Counterparts</w:t>
      </w:r>
      <w:r>
        <w:rPr>
          <w:rFonts w:ascii="Times New Roman" w:hAnsi="Times New Roman"/>
          <w:sz w:val="20"/>
        </w:rPr>
        <w:t xml:space="preserve">. This Agreement may be executed in counterparts, each of which shall for all purposes be deemed to be an original and all of which shall constitute the same instrument. Delivery of an executed counterpart of a signature page to this Agreement by facsimile (or other electronic transmission) shall be effective as delivery of a manually executed counterpart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Modification and Waiver</w:t>
      </w:r>
      <w:r>
        <w:rPr>
          <w:rFonts w:ascii="Times New Roman" w:hAnsi="Times New Roman"/>
          <w:sz w:val="20"/>
        </w:rPr>
        <w:t xml:space="preserve">. Any of the terms or conditions of this Agreement may be waived in writing at any time by the party that is entitled to the benefits thereof. No supplement, modification or amendment of this Agreement shall be binding unless executed in writing by all of the parties. No waiver of any of the provisions of this Agreement shall be deemed or shall constitute a waiver of any other provision hereof (whether or not similar) nor shall such waiver constitute a continuing waiver. </w:t>
      </w:r>
    </w:p>
    <w:p>
      <w:pPr>
        <w:pStyle w:val="TextBody"/>
        <w:bidi w:val="0"/>
        <w:spacing w:before="12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party hereto acknowledges that monetary damages would not be an adequate remedy in the event that each and every one of the covenants or agreements in this Agreement, including any covenants or agreements that require actions to be taken following the Closing, are not performed in accordance with their terms, and it is therefore agreed that, in addition to and without limiting any other remedy or right it may have, the non-breaching party shall have the right to an injunction, temporary restraining order or other equitable relief in any court of competent jurisdiction enjoining any such breach and enforcing specifically each and every one of the terms and provisions hereof. Each party hereto agrees not to oppose the granting of such relief in the event a court determines that such a breach has occurred, and to waive any requirement for the securing or posting of any bond in connection with such remedy. </w:t>
      </w:r>
    </w:p>
    <w:p>
      <w:pPr>
        <w:pStyle w:val="TextBody"/>
        <w:bidi w:val="0"/>
        <w:spacing w:before="120" w:after="0"/>
        <w:jc w:val="left"/>
        <w:rPr>
          <w:rFonts w:ascii="Times New Roman" w:hAnsi="Times New Roman"/>
          <w:sz w:val="20"/>
        </w:rPr>
      </w:pPr>
      <w:r>
        <w:rPr>
          <w:rFonts w:ascii="Times New Roman" w:hAnsi="Times New Roman"/>
          <w:sz w:val="20"/>
        </w:rPr>
        <w:t xml:space="preserve">(b) All rights, powers and remedies provided under this Agreement or otherwise available in respect hereof at law or in equity shall be cumulative and not alternative, and the exercise or beginning of the exercise of any thereof by any party shall not preclude the simultaneous or later exercise of any other such right, power or remedy by such party. </w:t>
      </w:r>
    </w:p>
    <w:p>
      <w:pPr>
        <w:pStyle w:val="TextBody"/>
        <w:bidi w:val="0"/>
        <w:spacing w:before="12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Notices</w:t>
      </w:r>
      <w:r>
        <w:rPr>
          <w:rFonts w:ascii="Times New Roman" w:hAnsi="Times New Roman"/>
          <w:sz w:val="20"/>
        </w:rPr>
        <w:t xml:space="preserve">. Any notice, request, instruction, document or other communication to be given hereunder by any party to any other party shall be in writing and validly given if (a) delivered personally, (b) sent by electronic transmission, (c) delivered by overnight express or (d) sent by registered or certified mail, postage prepaid, as follows: </w:t>
      </w:r>
    </w:p>
    <w:p>
      <w:pPr>
        <w:pStyle w:val="TextBody"/>
        <w:bidi w:val="0"/>
        <w:spacing w:before="120" w:after="0"/>
        <w:jc w:val="left"/>
        <w:rPr>
          <w:rFonts w:ascii="Times New Roman" w:hAnsi="Times New Roman"/>
          <w:sz w:val="20"/>
        </w:rPr>
      </w:pPr>
      <w:r>
        <w:rPr>
          <w:rFonts w:ascii="Times New Roman" w:hAnsi="Times New Roman"/>
          <w:sz w:val="20"/>
        </w:rPr>
        <w:t xml:space="preserve">If to Seller: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Telephone: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103 Northpark Boulevard, Suite 300 </w:t>
      </w:r>
    </w:p>
    <w:p>
      <w:pPr>
        <w:pStyle w:val="TextBody"/>
        <w:bidi w:val="0"/>
        <w:spacing w:before="0" w:after="0"/>
        <w:jc w:val="left"/>
        <w:rPr>
          <w:rFonts w:ascii="Times New Roman" w:hAnsi="Times New Roman"/>
          <w:sz w:val="20"/>
        </w:rPr>
      </w:pPr>
      <w:r>
        <w:rPr>
          <w:rFonts w:ascii="Times New Roman" w:hAnsi="Times New Roman"/>
          <w:sz w:val="20"/>
        </w:rPr>
        <w:t xml:space="preserve">Covington, Louisiana 70433 </w:t>
      </w:r>
    </w:p>
    <w:p>
      <w:pPr>
        <w:pStyle w:val="TextBody"/>
        <w:bidi w:val="0"/>
        <w:spacing w:before="0" w:after="0"/>
        <w:jc w:val="left"/>
        <w:rPr>
          <w:rFonts w:ascii="Times New Roman" w:hAnsi="Times New Roman"/>
          <w:sz w:val="20"/>
        </w:rPr>
      </w:pPr>
      <w:r>
        <w:rPr>
          <w:rFonts w:ascii="Times New Roman" w:hAnsi="Times New Roman"/>
          <w:sz w:val="20"/>
        </w:rPr>
        <w:t xml:space="preserve">Attention: James O. Harp, Jr. </w:t>
      </w:r>
    </w:p>
    <w:p>
      <w:pPr>
        <w:pStyle w:val="TextBody"/>
        <w:bidi w:val="0"/>
        <w:spacing w:before="0" w:after="0"/>
        <w:jc w:val="left"/>
        <w:rPr>
          <w:rFonts w:ascii="Times New Roman" w:hAnsi="Times New Roman"/>
          <w:sz w:val="20"/>
        </w:rPr>
      </w:pPr>
      <w:r>
        <w:rPr>
          <w:rFonts w:ascii="Times New Roman" w:hAnsi="Times New Roman"/>
          <w:sz w:val="20"/>
        </w:rPr>
        <w:t xml:space="preserve">Email: james.harp@hornbeckoffshore.com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609 Main Street </w:t>
      </w:r>
    </w:p>
    <w:p>
      <w:pPr>
        <w:pStyle w:val="TextBody"/>
        <w:bidi w:val="0"/>
        <w:spacing w:before="0" w:after="0"/>
        <w:jc w:val="left"/>
        <w:rPr>
          <w:rFonts w:ascii="Times New Roman" w:hAnsi="Times New Roman"/>
          <w:sz w:val="20"/>
        </w:rPr>
      </w:pPr>
      <w:r>
        <w:rPr>
          <w:rFonts w:ascii="Times New Roman" w:hAnsi="Times New Roman"/>
          <w:sz w:val="20"/>
        </w:rPr>
        <w:t xml:space="preserve">Houston, Texas 77002 </w:t>
      </w:r>
    </w:p>
    <w:p>
      <w:pPr>
        <w:pStyle w:val="TextBody"/>
        <w:bidi w:val="0"/>
        <w:spacing w:before="0" w:after="0"/>
        <w:jc w:val="left"/>
        <w:rPr>
          <w:rFonts w:ascii="Times New Roman" w:hAnsi="Times New Roman"/>
          <w:sz w:val="20"/>
        </w:rPr>
      </w:pPr>
      <w:r>
        <w:rPr>
          <w:rFonts w:ascii="Times New Roman" w:hAnsi="Times New Roman"/>
          <w:sz w:val="20"/>
        </w:rPr>
        <w:t xml:space="preserve">Attention: Matthew R. Pacey, P.C. and Ieuan A. List </w:t>
      </w:r>
    </w:p>
    <w:p>
      <w:pPr>
        <w:pStyle w:val="TextBody"/>
        <w:bidi w:val="0"/>
        <w:spacing w:before="0" w:after="0"/>
        <w:jc w:val="left"/>
        <w:rPr>
          <w:rFonts w:ascii="Times New Roman" w:hAnsi="Times New Roman"/>
          <w:sz w:val="20"/>
        </w:rPr>
      </w:pPr>
      <w:r>
        <w:rPr>
          <w:rFonts w:ascii="Times New Roman" w:hAnsi="Times New Roman"/>
          <w:sz w:val="20"/>
        </w:rPr>
        <w:t xml:space="preserve">Email: matt.pacey@kirkland.com; ieuan.list@kirkland.com </w:t>
      </w:r>
    </w:p>
    <w:p>
      <w:pPr>
        <w:pStyle w:val="TextBody"/>
        <w:bidi w:val="0"/>
        <w:spacing w:before="12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Governing Law; Consent to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This Agreement shall be construed in accordance with laws of the State of Delaware, without regard to conflicts of law principles that would require application of the laws of any other jurisdiction. The parties irrevocably and unconditionally consent to submit to the exclusive jurisdiction in the Court of Chancery of the State of Delaware or, in the event (but only in the event) that the Court of Chancery declines to accept jurisdiction over a particular matter, any court of the United States located in the State of Delaware, solely and specifically for any action, proceeding or investigation in any court or before any governmental authority (“</w:t>
      </w:r>
      <w:r>
        <w:rPr>
          <w:rFonts w:ascii="Times New Roman" w:hAnsi="Times New Roman"/>
          <w:b/>
          <w:sz w:val="20"/>
        </w:rPr>
        <w:t>Litigation</w:t>
      </w:r>
      <w:r>
        <w:rPr>
          <w:rFonts w:ascii="Times New Roman" w:hAnsi="Times New Roman"/>
          <w:sz w:val="20"/>
        </w:rPr>
        <w:t xml:space="preserve">”) arising out of or relating to this Agreement and the transactions contemplated hereby. Each of the parties hereto hereby irrevocably and unconditionally waives, and agrees not to assert, by way of motion, as a defense, counterclaim or otherwise, in any such Litigation, any claim that it is not personally subject to the jurisdiction of the aforesaid courts for any reason other than the failure to serve process in accordance with this </w:t>
      </w:r>
      <w:r>
        <w:rPr>
          <w:rFonts w:ascii="Times New Roman" w:hAnsi="Times New Roman"/>
          <w:sz w:val="20"/>
          <w:u w:val="single"/>
        </w:rPr>
        <w:t>Section 5.7</w:t>
      </w:r>
      <w:r>
        <w:rPr>
          <w:rFonts w:ascii="Times New Roman" w:hAnsi="Times New Roman"/>
          <w:sz w:val="20"/>
        </w:rPr>
        <w:t xml:space="preserve">, that it or its property is exempt or immune from jurisdiction of any such court or from any legal process commenced in such courts (whether through service of notice, attachment prior to judgment, attachment in aid of execution of judgment, execution of judgment or otherwise), and to the fullest extent permitted by applicable law, that the Litigation in any such court is brought in an inconvenient forum, that the venue of such Litigation is improper, or that this Agreement, or the subject matter hereof, may not be enforced in or by such courts and further irrevocably waives, to the fullest extent permitted by applicable law, the benefit of any defense that would hinder, fetter or delay the levy, execution or collection of any amount to which the party is entitled pursuant to the final judgment of any court having jurisdiction. Each of the parties irrevocably and unconditionally waives, to the fullest extent permitted by applicable law, any and all rights to trial by jury in connection with any Litigation arising out of or relating to this Agreement or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(b) Each of the parties expressly acknowledges that the foregoing waiver is intended to be irrevocable under the laws of the State of Delaware and of the United States of America; provided that consent by each of the parties to jurisdiction and service contained in this </w:t>
      </w:r>
      <w:r>
        <w:rPr>
          <w:rFonts w:ascii="Times New Roman" w:hAnsi="Times New Roman"/>
          <w:sz w:val="20"/>
          <w:u w:val="single"/>
        </w:rPr>
        <w:t>Section 6.8</w:t>
      </w:r>
      <w:r>
        <w:rPr>
          <w:rFonts w:ascii="Times New Roman" w:hAnsi="Times New Roman"/>
          <w:sz w:val="20"/>
        </w:rPr>
        <w:t xml:space="preserve"> is solely for the purpose referred to in this </w:t>
      </w:r>
      <w:r>
        <w:rPr>
          <w:rFonts w:ascii="Times New Roman" w:hAnsi="Times New Roman"/>
          <w:sz w:val="20"/>
          <w:u w:val="single"/>
        </w:rPr>
        <w:t>Section 6.8</w:t>
      </w:r>
      <w:r>
        <w:rPr>
          <w:rFonts w:ascii="Times New Roman" w:hAnsi="Times New Roman"/>
          <w:sz w:val="20"/>
        </w:rPr>
        <w:t xml:space="preserve"> and shall not be deemed to be a general submission to said courts or in the State of Delaware other than for such purpose. </w:t>
      </w:r>
    </w:p>
    <w:p>
      <w:pPr>
        <w:pStyle w:val="TextBody"/>
        <w:bidi w:val="0"/>
        <w:spacing w:before="12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Expenses</w:t>
      </w:r>
      <w:r>
        <w:rPr>
          <w:rFonts w:ascii="Times New Roman" w:hAnsi="Times New Roman"/>
          <w:sz w:val="20"/>
        </w:rPr>
        <w:t xml:space="preserve">. Except as otherwise provided herein, the Company, on the one hand, and the Seller, on the other hand, shall be solely responsible for their respective costs and expenses incurred in connection with the transactions contemplated hereby whether or not Closing shall have occurred. </w:t>
      </w:r>
    </w:p>
    <w:p>
      <w:pPr>
        <w:pStyle w:val="TextBody"/>
        <w:bidi w:val="0"/>
        <w:spacing w:before="12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Severability</w:t>
      </w:r>
      <w:r>
        <w:rPr>
          <w:rFonts w:ascii="Times New Roman" w:hAnsi="Times New Roman"/>
          <w:sz w:val="20"/>
        </w:rPr>
        <w:t xml:space="preserve">. The invalidity or unenforceability of any provision hereof shall in no way affect the validity or enforceability of any other provision. </w:t>
      </w:r>
    </w:p>
    <w:p>
      <w:pPr>
        <w:pStyle w:val="TextBody"/>
        <w:bidi w:val="0"/>
        <w:spacing w:before="12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Third Party Beneficiaries</w:t>
      </w:r>
      <w:r>
        <w:rPr>
          <w:rFonts w:ascii="Times New Roman" w:hAnsi="Times New Roman"/>
          <w:sz w:val="20"/>
        </w:rPr>
        <w:t xml:space="preserve">. Except as set forth in this Agreement, no person or entity shall be a third-party beneficiary of the representations, warranties, covenants and agreements made by any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Termination</w:t>
      </w:r>
      <w:r>
        <w:rPr>
          <w:rFonts w:ascii="Times New Roman" w:hAnsi="Times New Roman"/>
          <w:sz w:val="20"/>
        </w:rPr>
        <w:t xml:space="preserve">. Notwithstanding anything to the contrary herein, this Agreement shall automatically, without any further action by any party hereto, terminate and be of no further force or effect upon the earlier to occur of: (a) termination of the Underwriting Agreement in accordance with its terms, or (b) at the election of Seller by written notice to the Company if the obligation of Seller to consummate the Closing shall have lapsed in accordance with </w:t>
      </w:r>
      <w:r>
        <w:rPr>
          <w:rFonts w:ascii="Times New Roman" w:hAnsi="Times New Roman"/>
          <w:sz w:val="20"/>
          <w:u w:val="single"/>
        </w:rPr>
        <w:t>Section 1.6</w:t>
      </w:r>
      <w:r>
        <w:rPr>
          <w:rFonts w:ascii="Times New Roman" w:hAnsi="Times New Roman"/>
          <w:sz w:val="20"/>
        </w:rPr>
        <w:t xml:space="preserve">; provided, however, that no such termination shall relieve any party hereto from liability for any willful breach of this Agreement and, provided, further, that the obligations of the parties set forth in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6</w:t>
      </w:r>
      <w:r>
        <w:rPr>
          <w:rFonts w:ascii="Times New Roman" w:hAnsi="Times New Roman"/>
          <w:sz w:val="20"/>
        </w:rPr>
        <w:t xml:space="preserve"> hereof shall survive any such termination and shall be enforceable hereunder. The parties may terminate this Agreement at any time prior to the Closing by mutual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Interpretation</w:t>
      </w:r>
      <w:r>
        <w:rPr>
          <w:rFonts w:ascii="Times New Roman" w:hAnsi="Times New Roman"/>
          <w:sz w:val="20"/>
        </w:rPr>
        <w:t xml:space="preserve">.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 “or” shall be disjunctive but not exclusive.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and delivered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HORNBECK OFFSHORE SERVICES,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pPr>
            <w:r>
              <w:rPr/>
              <w:t> </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James O. Harp, Jr.</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and Chief Financial</w:t>
            </w:r>
          </w:p>
        </w:tc>
      </w:tr>
      <w:tr>
        <w:trPr/>
        <w:tc>
          <w:tcPr>
            <w:tcW w:w="672"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[SELLER]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pPr>
            <w:r>
              <w:rPr/>
              <w:t> </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Creditor Warrant Repurchase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center"/>
        <w:rPr>
          <w:rFonts w:ascii="Times New Roman" w:hAnsi="Times New Roman"/>
          <w:b/>
          <w:sz w:val="20"/>
        </w:rPr>
      </w:pPr>
      <w:r>
        <w:rPr>
          <w:rFonts w:ascii="Times New Roman" w:hAnsi="Times New Roman"/>
          <w:b/>
          <w:sz w:val="20"/>
        </w:rPr>
        <w:t xml:space="preserve">Certain Terms of the IPO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54"/>
        <w:gridCol w:w="185"/>
        <w:gridCol w:w="1166"/>
      </w:tblGrid>
      <w:tr>
        <w:trPr/>
        <w:tc>
          <w:tcPr>
            <w:tcW w:w="8854"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8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Price (as defined in the Underwriting Agreement):</w:t>
            </w:r>
          </w:p>
        </w:tc>
        <w:tc>
          <w:tcPr>
            <w:tcW w:w="185"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left"/>
              <w:rPr/>
            </w:pPr>
            <w:r>
              <w:rPr/>
              <w:t>$[●] a share</w:t>
            </w:r>
          </w:p>
        </w:tc>
      </w:tr>
      <w:tr>
        <w:trPr/>
        <w:tc>
          <w:tcPr>
            <w:tcW w:w="8854" w:type="dxa"/>
            <w:tcBorders/>
          </w:tcPr>
          <w:p>
            <w:pPr>
              <w:pStyle w:val="TableContents"/>
              <w:bidi w:val="0"/>
              <w:spacing w:before="0" w:after="0"/>
              <w:jc w:val="left"/>
              <w:rPr>
                <w:rFonts w:ascii="Times New Roman" w:hAnsi="Times New Roman"/>
                <w:sz w:val="20"/>
              </w:rPr>
            </w:pPr>
            <w:r>
              <w:rPr>
                <w:rFonts w:ascii="Times New Roman" w:hAnsi="Times New Roman"/>
                <w:sz w:val="20"/>
              </w:rPr>
              <w:t>Initial Public Offering Price:</w:t>
            </w:r>
          </w:p>
        </w:tc>
        <w:tc>
          <w:tcPr>
            <w:tcW w:w="185"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left"/>
              <w:rPr/>
            </w:pPr>
            <w:r>
              <w:rPr/>
              <w:t>$[●] a share</w:t>
            </w:r>
          </w:p>
        </w:tc>
      </w:tr>
      <w:tr>
        <w:trPr/>
        <w:tc>
          <w:tcPr>
            <w:tcW w:w="885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Closing Date:</w:t>
            </w:r>
          </w:p>
        </w:tc>
        <w:tc>
          <w:tcPr>
            <w:tcW w:w="185"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left"/>
              <w:rPr/>
            </w:pPr>
            <w:r>
              <w:rPr/>
              <w:t>[●], 2026</w:t>
            </w:r>
          </w:p>
        </w:tc>
      </w:tr>
    </w:tbl>
    <w:p>
      <w:pPr>
        <w:pStyle w:val="TextBody"/>
        <w:bidi w:val="0"/>
        <w:spacing w:before="0" w:after="0"/>
        <w:jc w:val="right"/>
        <w:rPr>
          <w:rFonts w:ascii="Times New Roman" w:hAnsi="Times New Roman"/>
          <w:b/>
          <w:sz w:val="20"/>
        </w:rPr>
      </w:pPr>
      <w:bookmarkStart w:id="43" w:name="d66194dex151.htm"/>
      <w:bookmarkStart w:id="44" w:name="ksd66194dex151"/>
      <w:bookmarkEnd w:id="43"/>
      <w:bookmarkEnd w:id="44"/>
      <w:r>
        <w:rPr>
          <w:rFonts w:ascii="Times New Roman" w:hAnsi="Times New Roman"/>
          <w:b/>
          <w:sz w:val="20"/>
        </w:rPr>
        <w:t xml:space="preserve">Exhibit 15.1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January 13, 2026 </w:t>
      </w:r>
    </w:p>
    <w:p>
      <w:pPr>
        <w:pStyle w:val="TextBody"/>
        <w:bidi w:val="0"/>
        <w:spacing w:before="240" w:after="0"/>
        <w:jc w:val="left"/>
        <w:rPr>
          <w:rFonts w:ascii="Times New Roman" w:hAnsi="Times New Roman"/>
          <w:sz w:val="20"/>
        </w:rPr>
      </w:pPr>
      <w:r>
        <w:rPr>
          <w:rFonts w:ascii="Times New Roman" w:hAnsi="Times New Roman"/>
          <w:sz w:val="20"/>
        </w:rPr>
        <w:t xml:space="preserve">Stockholders and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240" w:after="0"/>
        <w:jc w:val="left"/>
        <w:rPr>
          <w:rFonts w:ascii="Times New Roman" w:hAnsi="Times New Roman"/>
          <w:sz w:val="20"/>
        </w:rPr>
      </w:pPr>
      <w:r>
        <w:rPr>
          <w:rFonts w:ascii="Times New Roman" w:hAnsi="Times New Roman"/>
          <w:sz w:val="20"/>
        </w:rPr>
        <w:t xml:space="preserve">We are aware of the inclusion in Amendment No. 5 to the Registration Statement (Form S-1 No. 333-275939) of Hornbeck Offshore Services, Inc. for the registration of its common stock of our report dated November 7, 2025 relating to the unaudited consolidated interim financial statements of Hornbeck Offshore Services, Inc. as of September 30, 2025 and for the three-month and nine-month periods ended September 30, 2025 and 2024, that are included in its Form S-1.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New Orleans, Louisiana </w:t>
      </w:r>
    </w:p>
    <w:p>
      <w:pPr>
        <w:pStyle w:val="TextBody"/>
        <w:bidi w:val="0"/>
        <w:spacing w:before="0" w:after="0"/>
        <w:jc w:val="right"/>
        <w:rPr>
          <w:rFonts w:ascii="Times New Roman" w:hAnsi="Times New Roman"/>
          <w:b/>
          <w:sz w:val="20"/>
        </w:rPr>
      </w:pPr>
      <w:bookmarkStart w:id="45" w:name="d66194dex231.htm"/>
      <w:bookmarkStart w:id="46" w:name="ksd66194dex231"/>
      <w:bookmarkEnd w:id="45"/>
      <w:bookmarkEnd w:id="4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21, 2025 in Amendment No. 5 to the Registration Statement (Form S-1 No. 333-275939) and related Prospectus of Hornbeck Offshore Services, Inc. for the registration of shares of its common stock.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New Orleans, Louisiana </w:t>
      </w:r>
    </w:p>
    <w:p>
      <w:pPr>
        <w:pStyle w:val="TextBody"/>
        <w:bidi w:val="0"/>
        <w:spacing w:before="240" w:after="0"/>
        <w:jc w:val="left"/>
        <w:rPr>
          <w:rFonts w:ascii="Times New Roman" w:hAnsi="Times New Roman"/>
          <w:sz w:val="20"/>
        </w:rPr>
      </w:pPr>
      <w:r>
        <w:rPr>
          <w:rFonts w:ascii="Times New Roman" w:hAnsi="Times New Roman"/>
          <w:sz w:val="20"/>
        </w:rPr>
        <w:t xml:space="preserve">January 13,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6.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1.jpeg"/><Relationship Id="rId25" Type="http://schemas.openxmlformats.org/officeDocument/2006/relationships/hyperlink" Target="http://www.sec.gov/Archives/edgar/data/1131227/000119312524223084/d856023dex11.htm" TargetMode="External"/><Relationship Id="rId26" Type="http://schemas.openxmlformats.org/officeDocument/2006/relationships/hyperlink" Target="http://www.sec.gov/Archives/edgar/data/1131227/000119312523290782/d365366dex21.htm" TargetMode="External"/><Relationship Id="rId27" Type="http://schemas.openxmlformats.org/officeDocument/2006/relationships/hyperlink" Target="http://www.sec.gov/Archives/edgar/data/1131227/000119312523290782/d365366dex31.htm" TargetMode="External"/><Relationship Id="rId28" Type="http://schemas.openxmlformats.org/officeDocument/2006/relationships/hyperlink" Target="http://www.sec.gov/Archives/edgar/data/1131227/000119312523290782/d365366dex32.htm" TargetMode="External"/><Relationship Id="rId29" Type="http://schemas.openxmlformats.org/officeDocument/2006/relationships/hyperlink" Target="http://www.sec.gov/Archives/edgar/data/1131227/000119312524223084/d856023dex33.htm" TargetMode="External"/><Relationship Id="rId30" Type="http://schemas.openxmlformats.org/officeDocument/2006/relationships/hyperlink" Target="http://www.sec.gov/Archives/edgar/data/1131227/000119312524223084/d856023dex34.htm" TargetMode="External"/><Relationship Id="rId31" Type="http://schemas.openxmlformats.org/officeDocument/2006/relationships/hyperlink" Target="http://www.sec.gov/Archives/edgar/data/1131227/000119312523290782/d365366dex42.htm" TargetMode="External"/><Relationship Id="rId32" Type="http://schemas.openxmlformats.org/officeDocument/2006/relationships/hyperlink" Target="http://www.sec.gov/Archives/edgar/data/1131227/000119312523290782/d365366dex43.htm" TargetMode="External"/><Relationship Id="rId33" Type="http://schemas.openxmlformats.org/officeDocument/2006/relationships/hyperlink" Target="http://www.sec.gov/Archives/edgar/data/1131227/000119312523290782/d365366dex44.htm" TargetMode="External"/><Relationship Id="rId34" Type="http://schemas.openxmlformats.org/officeDocument/2006/relationships/hyperlink" Target="http://www.sec.gov/Archives/edgar/data/1131227/000119312523290782/d365366dex45.htm" TargetMode="External"/><Relationship Id="rId35" Type="http://schemas.openxmlformats.org/officeDocument/2006/relationships/hyperlink" Target="http://www.sec.gov/Archives/edgar/data/1131227/000119312523290782/d365366dex46.htm" TargetMode="External"/><Relationship Id="rId36" Type="http://schemas.openxmlformats.org/officeDocument/2006/relationships/hyperlink" Target="http://www.sec.gov/Archives/edgar/data/1131227/000119312523290782/d365366dex47.htm" TargetMode="External"/><Relationship Id="rId37" Type="http://schemas.openxmlformats.org/officeDocument/2006/relationships/hyperlink" Target="http://www.sec.gov/Archives/edgar/data/1131227/000119312523290782/d365366dex48.htm" TargetMode="External"/><Relationship Id="rId38" Type="http://schemas.openxmlformats.org/officeDocument/2006/relationships/hyperlink" Target="http://www.sec.gov/Archives/edgar/data/1131227/000119312524223084/d856023dex48.htm" TargetMode="External"/><Relationship Id="rId39" Type="http://schemas.openxmlformats.org/officeDocument/2006/relationships/hyperlink" Target="http://www.sec.gov/Archives/edgar/data/1131227/000119312524235916/d856023dex49.htm" TargetMode="External"/><Relationship Id="rId40" Type="http://schemas.openxmlformats.org/officeDocument/2006/relationships/hyperlink" Target="http://www.sec.gov/Archives/edgar/data/1131227/000119312525283200/d65571dex410.htm" TargetMode="External"/><Relationship Id="rId41" Type="http://schemas.openxmlformats.org/officeDocument/2006/relationships/hyperlink" Target="http://www.sec.gov/Archives/edgar/data/1131227/000119312524223084/d856023dex51.htm" TargetMode="External"/><Relationship Id="rId42" Type="http://schemas.openxmlformats.org/officeDocument/2006/relationships/hyperlink" Target="http://www.sec.gov/Archives/edgar/data/1131227/000119312524223084/d856023dex101.htm" TargetMode="External"/><Relationship Id="rId43" Type="http://schemas.openxmlformats.org/officeDocument/2006/relationships/hyperlink" Target="http://www.sec.gov/Archives/edgar/data/1131227/000119312523290782/d365366dex102.htm" TargetMode="External"/><Relationship Id="rId44" Type="http://schemas.openxmlformats.org/officeDocument/2006/relationships/hyperlink" Target="http://www.sec.gov/Archives/edgar/data/1131227/000119312523290782/d365366dex103.htm" TargetMode="External"/><Relationship Id="rId45" Type="http://schemas.openxmlformats.org/officeDocument/2006/relationships/hyperlink" Target="http://www.sec.gov/Archives/edgar/data/1131227/000119312524235916/d856023dex105.htm" TargetMode="External"/><Relationship Id="rId46" Type="http://schemas.openxmlformats.org/officeDocument/2006/relationships/hyperlink" Target="http://www.sec.gov/Archives/edgar/data/1131227/000119312524235916/d856023dex106.htm" TargetMode="External"/><Relationship Id="rId47" Type="http://schemas.openxmlformats.org/officeDocument/2006/relationships/hyperlink" Target="http://www.sec.gov/Archives/edgar/data/1131227/000119312523290782/d365366dex106.htm" TargetMode="External"/><Relationship Id="rId48" Type="http://schemas.openxmlformats.org/officeDocument/2006/relationships/hyperlink" Target="http://www.sec.gov/Archives/edgar/data/1131227/000119312523290782/d365366dex107.htm" TargetMode="External"/><Relationship Id="rId49" Type="http://schemas.openxmlformats.org/officeDocument/2006/relationships/hyperlink" Target="http://www.sec.gov/Archives/edgar/data/1131227/000119312523290782/d365366dex108.htm" TargetMode="External"/><Relationship Id="rId50" Type="http://schemas.openxmlformats.org/officeDocument/2006/relationships/hyperlink" Target="http://www.sec.gov/Archives/edgar/data/1131227/000119312523290782/d365366dex109.htm" TargetMode="External"/><Relationship Id="rId51" Type="http://schemas.openxmlformats.org/officeDocument/2006/relationships/hyperlink" Target="http://www.sec.gov/Archives/edgar/data/1131227/000119312523290782/d365366dex1010.htm" TargetMode="External"/><Relationship Id="rId52" Type="http://schemas.openxmlformats.org/officeDocument/2006/relationships/hyperlink" Target="http://www.sec.gov/Archives/edgar/data/1131227/000119312523290782/d365366dex1015.htm" TargetMode="External"/><Relationship Id="rId53" Type="http://schemas.openxmlformats.org/officeDocument/2006/relationships/hyperlink" Target="http://www.sec.gov/Archives/edgar/data/1131227/000119312523290782/d365366dex1015.htm" TargetMode="External"/><Relationship Id="rId54" Type="http://schemas.openxmlformats.org/officeDocument/2006/relationships/hyperlink" Target="http://www.sec.gov/Archives/edgar/data/1131227/000119312523290782/d365366dex1016.htm" TargetMode="External"/><Relationship Id="rId55" Type="http://schemas.openxmlformats.org/officeDocument/2006/relationships/hyperlink" Target="http://www.sec.gov/Archives/edgar/data/1131227/000119312523290782/d365366dex1017.htm" TargetMode="External"/><Relationship Id="rId56" Type="http://schemas.openxmlformats.org/officeDocument/2006/relationships/hyperlink" Target="http://www.sec.gov/Archives/edgar/data/1131227/000119312524202182/d669597dex1014.htm" TargetMode="External"/><Relationship Id="rId57" Type="http://schemas.openxmlformats.org/officeDocument/2006/relationships/hyperlink" Target="http://www.sec.gov/Archives/edgar/data/1131227/000119312523290782/d365366dex1018.htm" TargetMode="External"/><Relationship Id="rId58" Type="http://schemas.openxmlformats.org/officeDocument/2006/relationships/hyperlink" Target="http://www.sec.gov/Archives/edgar/data/1131227/000119312524223084/d856023dex1016.htm" TargetMode="External"/><Relationship Id="rId59" Type="http://schemas.openxmlformats.org/officeDocument/2006/relationships/hyperlink" Target="http://www.sec.gov/Archives/edgar/data/1131227/000119312523290782/d365366dex1019.htm" TargetMode="External"/><Relationship Id="rId60" Type="http://schemas.openxmlformats.org/officeDocument/2006/relationships/hyperlink" Target="http://www.sec.gov/Archives/edgar/data/1131227/000119312523290782/d365366dex1020.htm" TargetMode="External"/><Relationship Id="rId61" Type="http://schemas.openxmlformats.org/officeDocument/2006/relationships/hyperlink" Target="http://www.sec.gov/Archives/edgar/data/1131227/000119312524235916/d856023dex1020.htm" TargetMode="External"/><Relationship Id="rId62" Type="http://schemas.openxmlformats.org/officeDocument/2006/relationships/hyperlink" Target="http://www.sec.gov/Archives/edgar/data/1131227/000119312524235916/d856023dex1021.htm" TargetMode="External"/><Relationship Id="rId63" Type="http://schemas.openxmlformats.org/officeDocument/2006/relationships/hyperlink" Target="http://www.sec.gov/Archives/edgar/data/1131227/000119312525283200/d65571dex1022.htm" TargetMode="External"/><Relationship Id="rId64" Type="http://schemas.openxmlformats.org/officeDocument/2006/relationships/hyperlink" Target="http://www.sec.gov/Archives/edgar/data/1131227/000119312525283200/d65571dex1023.htm" TargetMode="External"/><Relationship Id="rId65" Type="http://schemas.openxmlformats.org/officeDocument/2006/relationships/hyperlink" Target="http://www.sec.gov/Archives/edgar/data/1131227/000119312525283200/d65571dex1024.htm" TargetMode="External"/><Relationship Id="rId66" Type="http://schemas.openxmlformats.org/officeDocument/2006/relationships/hyperlink" Target="http://www.sec.gov/Archives/edgar/data/1131227/000119312525283200/d65571dex1025.htm" TargetMode="External"/><Relationship Id="rId67" Type="http://schemas.openxmlformats.org/officeDocument/2006/relationships/hyperlink" Target="http://www.sec.gov/Archives/edgar/data/1131227/000119312524223084/d856023dex211.htm" TargetMode="External"/><Relationship Id="rId68" Type="http://schemas.openxmlformats.org/officeDocument/2006/relationships/hyperlink" Target="http://www.sec.gov/Archives/edgar/data/1131227/000119312524223084/d856023dex51.htm" TargetMode="External"/><Relationship Id="rId69" Type="http://schemas.openxmlformats.org/officeDocument/2006/relationships/hyperlink" Target="http://www.sec.gov/Archives/edgar/data/1131227/000119312524202182/d669597dex242.htm" TargetMode="External"/><Relationship Id="rId70" Type="http://schemas.openxmlformats.org/officeDocument/2006/relationships/hyperlink" Target="http://www.sec.gov/Archives/edgar/data/1131227/000119312523290782/d365366dexfilingfees.htm" TargetMode="External"/><Relationship Id="rId71" Type="http://schemas.openxmlformats.org/officeDocument/2006/relationships/fontTable" Target="fontTable.xml"/><Relationship Id="rId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317</Pages>
  <Words>172439</Words>
  <Characters>943398</Characters>
  <CharactersWithSpaces>1132225</CharactersWithSpaces>
  <Paragraphs>28298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